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C3" w:rsidRDefault="00890D37">
      <w:pPr>
        <w:spacing w:before="252" w:after="144" w:line="216" w:lineRule="auto"/>
        <w:jc w:val="right"/>
        <w:rPr>
          <w:rFonts w:ascii="Arial" w:hAnsi="Arial"/>
          <w:b/>
          <w:color w:val="000000"/>
          <w:spacing w:val="16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5715</wp:posOffset>
                </wp:positionV>
                <wp:extent cx="354965" cy="0"/>
                <wp:effectExtent l="9525" t="5715" r="698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6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63655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25pt,.45pt" to="-34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4tHgIAAEAEAAAOAAAAZHJzL2Uyb0RvYy54bWysU8GO2jAQvVfqP1i+QwgkFCLCqkqgl22L&#10;tNsPMLZDrDq2ZRsCqvrvHTuAlvZSVb0448zM85uZN6uncyfRiVsntCpxOp5gxBXVTKhDib+9bkcL&#10;jJwnihGpFS/xhTv8tH7/btWbgk91qyXjFgGIckVvStx6b4okcbTlHXFjbbgCZ6NtRzxc7SFhlvSA&#10;3slkOpnMk15bZqym3Dn4Ww9OvI74TcOp/9o0jnskSwzcfDxtPPfhTNYrUhwsMa2gVxrkH1h0RCh4&#10;9A5VE0/Q0Yo/oDpBrXa68WOqu0Q3jaA81gDVpJPfqnlpieGxFmiOM/c2uf8HS7+cdhYJBrPDSJEO&#10;RvQsFEfT0JneuAICKrWzoTZ6Vi/mWdPvDildtUQdeGT4ejGQloaM5CElXJwB/H3/WTOIIUevY5vO&#10;je0CJDQAneM0Lvdp8LNHFH7O8mw5zzGiN1dCiluesc5/4rpDwSixBMoRl5yenQ88SHELCc8ovRVS&#10;xllLhfoSZ1mWxwSnpWDBGcKcPewradGJgFrms3meR4EA2ENYQK6Ja4e46Bp0ZPVRsfhKywnbXG1P&#10;hBxsAJIqPAQlAs+rNejkx3Ky3Cw2i2yUTeebUTap69HHbZWN5tv0Q17P6qqq05+Bc5oVrWCMq0D7&#10;ptk0+ztNXLdnUNtdtff+JI/osZFA9vaNpOOMw1gHgew1u+zsbfYg0xh8XamwB2/vYL9d/PUvAAAA&#10;//8DAFBLAwQUAAYACAAAACEAXPbU890AAAAGAQAADwAAAGRycy9kb3ducmV2LnhtbEyOTU+DQBRF&#10;9yb+h8kzcUcHGiWIDA3xY6OJSas1cffKPIGUeYPMtNB/73Sly5t7c+4pVrPpxZFG11lWkCxiEMS1&#10;1R03Cj7en6MMhPPIGnvLpOBEDlbl5UWBubYTr+m48Y0IEHY5Kmi9H3IpXd2SQbewA3Hovu1o0Ic4&#10;NlKPOAW46eUyjlNpsOPw0OJADy3V+83BKNgmJnv93H/Rz6mqnqbHFHn79qLU9dVc3YPwNPu/MZz1&#10;gzqUwWlnD6yd6BVEyfLmNmwV3IEIfZRmKYjdOcqykP/1y18AAAD//wMAUEsBAi0AFAAGAAgAAAAh&#10;ALaDOJL+AAAA4QEAABMAAAAAAAAAAAAAAAAAAAAAAFtDb250ZW50X1R5cGVzXS54bWxQSwECLQAU&#10;AAYACAAAACEAOP0h/9YAAACUAQAACwAAAAAAAAAAAAAAAAAvAQAAX3JlbHMvLnJlbHNQSwECLQAU&#10;AAYACAAAACEApbM+LR4CAABABAAADgAAAAAAAAAAAAAAAAAuAgAAZHJzL2Uyb0RvYy54bWxQSwEC&#10;LQAUAAYACAAAACEAXPbU890AAAAGAQAADwAAAAAAAAAAAAAAAAB4BAAAZHJzL2Rvd25yZXYueG1s&#10;UEsFBgAAAAAEAAQA8wAAAIIFAAAAAA==&#10;" strokecolor="#636550" strokeweight=".35pt"/>
            </w:pict>
          </mc:Fallback>
        </mc:AlternateContent>
      </w:r>
      <w:r>
        <w:rPr>
          <w:rFonts w:ascii="Arial" w:hAnsi="Arial"/>
          <w:b/>
          <w:color w:val="000000"/>
          <w:spacing w:val="16"/>
          <w:sz w:val="24"/>
        </w:rPr>
        <w:t>MATERIALS SAFETY DATA SHEET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4129"/>
      </w:tblGrid>
      <w:tr w:rsidR="00395BC3">
        <w:tblPrEx>
          <w:tblCellMar>
            <w:top w:w="0" w:type="dxa"/>
            <w:bottom w:w="0" w:type="dxa"/>
          </w:tblCellMar>
        </w:tblPrEx>
        <w:trPr>
          <w:trHeight w:hRule="exact" w:val="2599"/>
        </w:trPr>
        <w:tc>
          <w:tcPr>
            <w:tcW w:w="36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90D37" w:rsidRDefault="00890D37" w:rsidP="00890D37">
            <w:pPr>
              <w:ind w:right="709"/>
              <w:jc w:val="center"/>
              <w:rPr>
                <w:rFonts w:ascii="Verdana" w:hAnsi="Verdana"/>
                <w:b/>
                <w:color w:val="000000"/>
                <w:spacing w:val="6"/>
                <w:sz w:val="18"/>
              </w:rPr>
            </w:pPr>
          </w:p>
          <w:p w:rsidR="00395BC3" w:rsidRDefault="00890D37" w:rsidP="00890D37">
            <w:pPr>
              <w:ind w:right="709"/>
              <w:jc w:val="center"/>
              <w:rPr>
                <w:rFonts w:ascii="Verdana" w:hAnsi="Verdana"/>
                <w:b/>
                <w:color w:val="000000"/>
                <w:spacing w:val="6"/>
                <w:sz w:val="18"/>
              </w:rPr>
            </w:pPr>
            <w:r>
              <w:rPr>
                <w:rFonts w:ascii="Verdana" w:hAnsi="Verdana"/>
                <w:b/>
                <w:color w:val="000000"/>
                <w:spacing w:val="6"/>
                <w:sz w:val="18"/>
              </w:rPr>
              <w:t>s</w:t>
            </w:r>
            <w:r>
              <w:rPr>
                <w:rFonts w:ascii="Verdana" w:hAnsi="Verdana"/>
                <w:b/>
                <w:color w:val="000000"/>
                <w:spacing w:val="6"/>
                <w:sz w:val="18"/>
              </w:rPr>
              <w:t>ection 1-Material Identity</w:t>
            </w:r>
          </w:p>
          <w:p w:rsidR="00395BC3" w:rsidRDefault="00890D37" w:rsidP="00890D37">
            <w:pPr>
              <w:spacing w:before="36"/>
              <w:ind w:right="2124"/>
              <w:rPr>
                <w:rFonts w:ascii="Verdana" w:hAnsi="Verdana"/>
                <w:color w:val="000000"/>
                <w:spacing w:val="-10"/>
                <w:sz w:val="15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</w:rPr>
              <w:t>p</w:t>
            </w:r>
            <w:r>
              <w:rPr>
                <w:rFonts w:ascii="Verdana" w:hAnsi="Verdana"/>
                <w:color w:val="000000"/>
                <w:spacing w:val="-10"/>
                <w:sz w:val="15"/>
              </w:rPr>
              <w:t xml:space="preserve">roduct Trade Name: </w:t>
            </w:r>
            <w:r>
              <w:rPr>
                <w:rFonts w:ascii="Verdana" w:hAnsi="Verdana"/>
                <w:color w:val="000000"/>
                <w:spacing w:val="-8"/>
                <w:sz w:val="15"/>
              </w:rPr>
              <w:t xml:space="preserve">Common Name(s): </w:t>
            </w:r>
            <w:r>
              <w:rPr>
                <w:rFonts w:ascii="Verdana" w:hAnsi="Verdana"/>
                <w:color w:val="000000"/>
                <w:spacing w:val="-6"/>
                <w:sz w:val="15"/>
              </w:rPr>
              <w:t>Chemical Name:</w:t>
            </w:r>
          </w:p>
          <w:p w:rsidR="00395BC3" w:rsidRDefault="00890D37">
            <w:pPr>
              <w:spacing w:before="36" w:line="201" w:lineRule="auto"/>
              <w:rPr>
                <w:rFonts w:ascii="Verdana" w:hAnsi="Verdana"/>
                <w:color w:val="000000"/>
                <w:spacing w:val="-6"/>
                <w:sz w:val="15"/>
              </w:rPr>
            </w:pPr>
            <w:r>
              <w:rPr>
                <w:rFonts w:ascii="Verdana" w:hAnsi="Verdana"/>
                <w:color w:val="000000"/>
                <w:spacing w:val="-6"/>
                <w:sz w:val="15"/>
              </w:rPr>
              <w:t>CAS Number:</w:t>
            </w:r>
          </w:p>
          <w:p w:rsidR="00395BC3" w:rsidRDefault="00890D37">
            <w:pPr>
              <w:spacing w:line="201" w:lineRule="auto"/>
              <w:rPr>
                <w:rFonts w:ascii="Verdana" w:hAnsi="Verdana"/>
                <w:color w:val="000000"/>
                <w:spacing w:val="-4"/>
                <w:sz w:val="15"/>
              </w:rPr>
            </w:pPr>
            <w:r>
              <w:rPr>
                <w:rFonts w:ascii="Verdana" w:hAnsi="Verdana"/>
                <w:color w:val="000000"/>
                <w:spacing w:val="-4"/>
                <w:sz w:val="15"/>
              </w:rPr>
              <w:t>EINECS Number:</w:t>
            </w:r>
          </w:p>
          <w:p w:rsidR="00395BC3" w:rsidRDefault="00890D37">
            <w:pPr>
              <w:rPr>
                <w:rFonts w:ascii="Verdana" w:hAnsi="Verdana"/>
                <w:color w:val="000000"/>
                <w:spacing w:val="-6"/>
                <w:sz w:val="15"/>
              </w:rPr>
            </w:pPr>
            <w:r>
              <w:rPr>
                <w:rFonts w:ascii="Verdana" w:hAnsi="Verdana"/>
                <w:color w:val="000000"/>
                <w:spacing w:val="-6"/>
                <w:sz w:val="15"/>
              </w:rPr>
              <w:t>Physical Form:</w:t>
            </w:r>
          </w:p>
          <w:p w:rsidR="00395BC3" w:rsidRDefault="00890D37">
            <w:pPr>
              <w:spacing w:before="180" w:line="211" w:lineRule="auto"/>
              <w:rPr>
                <w:rFonts w:ascii="Verdana" w:hAnsi="Verdana"/>
                <w:color w:val="000000"/>
                <w:spacing w:val="-5"/>
                <w:sz w:val="15"/>
              </w:rPr>
            </w:pPr>
            <w:r>
              <w:rPr>
                <w:rFonts w:ascii="Verdana" w:hAnsi="Verdana"/>
                <w:color w:val="000000"/>
                <w:spacing w:val="-5"/>
                <w:sz w:val="15"/>
              </w:rPr>
              <w:t>Manufacturers Name and Address:</w:t>
            </w:r>
          </w:p>
          <w:p w:rsidR="00395BC3" w:rsidRDefault="00890D37">
            <w:pPr>
              <w:spacing w:before="180"/>
              <w:ind w:right="1764"/>
              <w:rPr>
                <w:rFonts w:ascii="Verdana" w:hAnsi="Verdana"/>
                <w:color w:val="000000"/>
                <w:spacing w:val="-10"/>
                <w:sz w:val="15"/>
              </w:rPr>
            </w:pPr>
            <w:r>
              <w:rPr>
                <w:rFonts w:ascii="Verdana" w:hAnsi="Verdana"/>
                <w:color w:val="000000"/>
                <w:spacing w:val="-10"/>
                <w:sz w:val="15"/>
              </w:rPr>
              <w:t xml:space="preserve">North Star Clay Mining Inc. </w:t>
            </w:r>
            <w:r>
              <w:rPr>
                <w:rFonts w:ascii="Verdana" w:hAnsi="Verdana"/>
                <w:color w:val="000000"/>
                <w:spacing w:val="-6"/>
                <w:sz w:val="15"/>
              </w:rPr>
              <w:t>35 Mammoth Main St.</w:t>
            </w:r>
          </w:p>
          <w:p w:rsidR="00395BC3" w:rsidRDefault="00890D37">
            <w:pPr>
              <w:spacing w:before="36" w:line="196" w:lineRule="auto"/>
              <w:rPr>
                <w:rFonts w:ascii="Verdana" w:hAnsi="Verdana"/>
                <w:color w:val="000000"/>
                <w:spacing w:val="-4"/>
                <w:sz w:val="15"/>
              </w:rPr>
            </w:pPr>
            <w:r>
              <w:rPr>
                <w:rFonts w:ascii="Verdana" w:hAnsi="Verdana"/>
                <w:color w:val="000000"/>
                <w:spacing w:val="-4"/>
                <w:sz w:val="15"/>
              </w:rPr>
              <w:t>P.O. Box 190</w:t>
            </w:r>
          </w:p>
          <w:p w:rsidR="00395BC3" w:rsidRDefault="00890D37">
            <w:pPr>
              <w:spacing w:line="199" w:lineRule="auto"/>
              <w:rPr>
                <w:rFonts w:ascii="Verdana" w:hAnsi="Verdana"/>
                <w:color w:val="000000"/>
                <w:spacing w:val="-4"/>
                <w:sz w:val="15"/>
              </w:rPr>
            </w:pPr>
            <w:r>
              <w:rPr>
                <w:rFonts w:ascii="Verdana" w:hAnsi="Verdana"/>
                <w:color w:val="000000"/>
                <w:spacing w:val="-4"/>
                <w:sz w:val="15"/>
              </w:rPr>
              <w:t>Eureka, UT 84628</w:t>
            </w:r>
          </w:p>
        </w:tc>
        <w:tc>
          <w:tcPr>
            <w:tcW w:w="41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5BC3" w:rsidRDefault="00890D37">
            <w:pPr>
              <w:spacing w:before="180"/>
              <w:ind w:left="706"/>
              <w:rPr>
                <w:rFonts w:ascii="Verdana" w:hAnsi="Verdana"/>
                <w:color w:val="000000"/>
                <w:spacing w:val="-4"/>
                <w:sz w:val="15"/>
              </w:rPr>
            </w:pPr>
            <w:r>
              <w:rPr>
                <w:rFonts w:ascii="Verdana" w:hAnsi="Verdana"/>
                <w:color w:val="000000"/>
                <w:spacing w:val="-4"/>
                <w:sz w:val="15"/>
              </w:rPr>
              <w:t>Halloysite (EG) entrapment grade</w:t>
            </w:r>
          </w:p>
          <w:p w:rsidR="00395BC3" w:rsidRDefault="00890D37">
            <w:pPr>
              <w:ind w:left="706"/>
              <w:rPr>
                <w:rFonts w:ascii="Verdana" w:hAnsi="Verdana"/>
                <w:color w:val="000000"/>
                <w:spacing w:val="-4"/>
                <w:sz w:val="15"/>
              </w:rPr>
            </w:pPr>
            <w:r>
              <w:rPr>
                <w:rFonts w:ascii="Verdana" w:hAnsi="Verdana"/>
                <w:color w:val="000000"/>
                <w:spacing w:val="-4"/>
                <w:sz w:val="15"/>
              </w:rPr>
              <w:t>Halloysite, Kaolin</w:t>
            </w:r>
          </w:p>
          <w:p w:rsidR="00395BC3" w:rsidRDefault="00890D37">
            <w:pPr>
              <w:spacing w:before="36" w:line="192" w:lineRule="auto"/>
              <w:ind w:left="706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Kaolin</w:t>
            </w:r>
          </w:p>
          <w:p w:rsidR="00395BC3" w:rsidRDefault="00890D37">
            <w:pPr>
              <w:spacing w:before="36"/>
              <w:ind w:left="706" w:right="1620"/>
              <w:jc w:val="both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 xml:space="preserve">1332-58-7 </w:t>
            </w:r>
            <w:r>
              <w:rPr>
                <w:rFonts w:ascii="Verdana" w:hAnsi="Verdana"/>
                <w:color w:val="000000"/>
                <w:spacing w:val="-4"/>
                <w:sz w:val="15"/>
              </w:rPr>
              <w:t xml:space="preserve">310-127-6 </w:t>
            </w:r>
            <w:r>
              <w:rPr>
                <w:rFonts w:ascii="Verdana" w:hAnsi="Verdana"/>
                <w:color w:val="000000"/>
                <w:spacing w:val="-9"/>
                <w:sz w:val="15"/>
              </w:rPr>
              <w:t>White to off-white powder</w:t>
            </w:r>
          </w:p>
          <w:p w:rsidR="00395BC3" w:rsidRDefault="00890D37">
            <w:pPr>
              <w:spacing w:before="468"/>
              <w:ind w:left="706" w:right="1836"/>
              <w:rPr>
                <w:rFonts w:ascii="Verdana" w:hAnsi="Verdana"/>
                <w:color w:val="000000"/>
                <w:spacing w:val="-9"/>
                <w:sz w:val="15"/>
              </w:rPr>
            </w:pPr>
            <w:r>
              <w:rPr>
                <w:rFonts w:ascii="Verdana" w:hAnsi="Verdana"/>
                <w:color w:val="000000"/>
                <w:spacing w:val="-9"/>
                <w:sz w:val="15"/>
              </w:rPr>
              <w:t xml:space="preserve">Phone: 435-433-6612 </w:t>
            </w:r>
            <w:r>
              <w:rPr>
                <w:rFonts w:ascii="Verdana" w:hAnsi="Verdana"/>
                <w:color w:val="000000"/>
                <w:spacing w:val="-4"/>
                <w:sz w:val="15"/>
              </w:rPr>
              <w:t>FAX: 435-433-5512</w:t>
            </w:r>
          </w:p>
        </w:tc>
      </w:tr>
    </w:tbl>
    <w:p w:rsidR="00395BC3" w:rsidRDefault="00395BC3">
      <w:pPr>
        <w:spacing w:after="448" w:line="20" w:lineRule="exact"/>
      </w:pPr>
    </w:p>
    <w:p w:rsidR="00395BC3" w:rsidRDefault="00395BC3">
      <w:pPr>
        <w:sectPr w:rsidR="00395BC3">
          <w:pgSz w:w="12240" w:h="17280"/>
          <w:pgMar w:top="62" w:right="3602" w:bottom="1848" w:left="838" w:header="720" w:footer="720" w:gutter="0"/>
          <w:cols w:space="720"/>
        </w:sectPr>
      </w:pPr>
    </w:p>
    <w:p w:rsidR="00395BC3" w:rsidRDefault="00890D37">
      <w:pPr>
        <w:rPr>
          <w:rFonts w:ascii="Verdana" w:hAnsi="Verdana"/>
          <w:b/>
          <w:color w:val="000000"/>
          <w:spacing w:val="8"/>
          <w:sz w:val="18"/>
        </w:rPr>
      </w:pPr>
      <w:r>
        <w:rPr>
          <w:rFonts w:ascii="Verdana" w:hAnsi="Verdana"/>
          <w:b/>
          <w:color w:val="000000"/>
          <w:spacing w:val="8"/>
          <w:sz w:val="18"/>
        </w:rPr>
        <w:lastRenderedPageBreak/>
        <w:t>Section 2</w:t>
      </w:r>
      <w:r>
        <w:rPr>
          <w:rFonts w:ascii="Arial" w:hAnsi="Arial"/>
          <w:b/>
          <w:color w:val="000000"/>
          <w:spacing w:val="8"/>
          <w:sz w:val="6"/>
        </w:rPr>
        <w:t xml:space="preserve">- </w:t>
      </w:r>
      <w:r>
        <w:rPr>
          <w:rFonts w:ascii="Verdana" w:hAnsi="Verdana"/>
          <w:b/>
          <w:color w:val="000000"/>
          <w:spacing w:val="8"/>
          <w:sz w:val="18"/>
        </w:rPr>
        <w:t>composition/Information on components</w:t>
      </w:r>
    </w:p>
    <w:p w:rsidR="00395BC3" w:rsidRDefault="00890D37">
      <w:pPr>
        <w:rPr>
          <w:rFonts w:ascii="Verdana" w:hAnsi="Verdana"/>
          <w:color w:val="000000"/>
          <w:spacing w:val="-6"/>
          <w:sz w:val="15"/>
        </w:rPr>
      </w:pPr>
      <w:r>
        <w:rPr>
          <w:rFonts w:ascii="Verdana" w:hAnsi="Verdana"/>
          <w:color w:val="000000"/>
          <w:spacing w:val="-6"/>
          <w:sz w:val="15"/>
        </w:rPr>
        <w:t>Halloysite (also known as kaolin or china clay) is a natural material that contains variable proportions of various minerals, including Halloysite, Cristoba alunite, and other minor amounts of natural minerals.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4"/>
        <w:gridCol w:w="6476"/>
      </w:tblGrid>
      <w:tr w:rsidR="00395BC3">
        <w:tblPrEx>
          <w:tblCellMar>
            <w:top w:w="0" w:type="dxa"/>
            <w:bottom w:w="0" w:type="dxa"/>
          </w:tblCellMar>
        </w:tblPrEx>
        <w:trPr>
          <w:trHeight w:hRule="exact" w:val="1201"/>
        </w:trPr>
        <w:tc>
          <w:tcPr>
            <w:tcW w:w="42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5BC3" w:rsidRDefault="00890D37">
            <w:pPr>
              <w:spacing w:line="227" w:lineRule="exact"/>
              <w:ind w:left="36"/>
              <w:rPr>
                <w:rFonts w:ascii="Arial" w:hAnsi="Arial"/>
                <w:color w:val="000000"/>
                <w:spacing w:val="2"/>
                <w:sz w:val="19"/>
              </w:rPr>
            </w:pPr>
            <w:r>
              <w:rPr>
                <w:rFonts w:ascii="Arial" w:hAnsi="Arial"/>
                <w:color w:val="000000"/>
                <w:spacing w:val="2"/>
                <w:sz w:val="19"/>
              </w:rPr>
              <w:t>Chemical Name: Halloysite</w:t>
            </w:r>
          </w:p>
          <w:p w:rsidR="00395BC3" w:rsidRDefault="00890D37">
            <w:pPr>
              <w:spacing w:line="233" w:lineRule="exact"/>
              <w:ind w:left="36" w:right="144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 xml:space="preserve">Chemical Family: Kaolin (1:1 Aluminosilicate) </w:t>
            </w:r>
            <w:r>
              <w:rPr>
                <w:rFonts w:ascii="Arial" w:hAnsi="Arial"/>
                <w:b/>
                <w:color w:val="000000"/>
                <w:sz w:val="20"/>
              </w:rPr>
              <w:t>Halloysite:</w:t>
            </w:r>
          </w:p>
          <w:p w:rsidR="00395BC3" w:rsidRDefault="00890D37">
            <w:pPr>
              <w:spacing w:line="147" w:lineRule="exact"/>
              <w:ind w:left="36"/>
              <w:rPr>
                <w:rFonts w:ascii="Verdana" w:hAnsi="Verdana"/>
                <w:color w:val="000000"/>
                <w:spacing w:val="-6"/>
                <w:sz w:val="15"/>
              </w:rPr>
            </w:pPr>
            <w:r>
              <w:rPr>
                <w:rFonts w:ascii="Verdana" w:hAnsi="Verdana"/>
                <w:color w:val="000000"/>
                <w:spacing w:val="-6"/>
                <w:sz w:val="15"/>
              </w:rPr>
              <w:t>CAS number:</w:t>
            </w:r>
          </w:p>
          <w:p w:rsidR="00395BC3" w:rsidRDefault="00890D37">
            <w:pPr>
              <w:spacing w:before="36" w:line="163" w:lineRule="exact"/>
              <w:ind w:left="36" w:right="2808"/>
              <w:rPr>
                <w:rFonts w:ascii="Verdana" w:hAnsi="Verdana"/>
                <w:color w:val="000000"/>
                <w:spacing w:val="-4"/>
                <w:sz w:val="15"/>
              </w:rPr>
            </w:pPr>
            <w:r>
              <w:rPr>
                <w:rFonts w:ascii="Verdana" w:hAnsi="Verdana"/>
                <w:color w:val="000000"/>
                <w:spacing w:val="-4"/>
                <w:sz w:val="15"/>
              </w:rPr>
              <w:t xml:space="preserve">EINECS number: </w:t>
            </w:r>
            <w:r>
              <w:rPr>
                <w:rFonts w:ascii="Verdana" w:hAnsi="Verdana"/>
                <w:color w:val="000000"/>
                <w:spacing w:val="-1"/>
                <w:sz w:val="15"/>
              </w:rPr>
              <w:t>USEPA PC CODE:</w:t>
            </w:r>
          </w:p>
        </w:tc>
        <w:tc>
          <w:tcPr>
            <w:tcW w:w="64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395BC3" w:rsidRDefault="00890D37">
            <w:pPr>
              <w:spacing w:before="648"/>
              <w:ind w:left="180" w:right="5508"/>
              <w:jc w:val="both"/>
              <w:rPr>
                <w:rFonts w:ascii="Verdana" w:hAnsi="Verdana"/>
                <w:color w:val="000000"/>
                <w:spacing w:val="-15"/>
                <w:sz w:val="15"/>
              </w:rPr>
            </w:pPr>
            <w:r>
              <w:rPr>
                <w:rFonts w:ascii="Verdana" w:hAnsi="Verdana"/>
                <w:color w:val="000000"/>
                <w:spacing w:val="-15"/>
                <w:sz w:val="15"/>
              </w:rPr>
              <w:t xml:space="preserve">12068-50-7 </w:t>
            </w:r>
            <w:r>
              <w:rPr>
                <w:rFonts w:ascii="Verdana" w:hAnsi="Verdana"/>
                <w:color w:val="000000"/>
                <w:spacing w:val="-8"/>
                <w:sz w:val="15"/>
              </w:rPr>
              <w:t xml:space="preserve">310-127-6 </w:t>
            </w:r>
            <w:r>
              <w:rPr>
                <w:rFonts w:ascii="Verdana" w:hAnsi="Verdana"/>
                <w:color w:val="000000"/>
                <w:sz w:val="15"/>
              </w:rPr>
              <w:t>100103</w:t>
            </w:r>
          </w:p>
        </w:tc>
      </w:tr>
    </w:tbl>
    <w:p w:rsidR="00395BC3" w:rsidRDefault="00395BC3">
      <w:pPr>
        <w:spacing w:after="160" w:line="20" w:lineRule="exact"/>
      </w:pPr>
    </w:p>
    <w:p w:rsidR="00395BC3" w:rsidRDefault="00890D37">
      <w:pPr>
        <w:spacing w:line="283" w:lineRule="auto"/>
        <w:rPr>
          <w:rFonts w:ascii="Verdana" w:hAnsi="Verdana"/>
          <w:color w:val="000000"/>
          <w:spacing w:val="-4"/>
          <w:sz w:val="15"/>
        </w:rPr>
      </w:pPr>
      <w:r>
        <w:rPr>
          <w:rFonts w:ascii="Verdana" w:hAnsi="Verdana"/>
          <w:color w:val="000000"/>
          <w:spacing w:val="-4"/>
          <w:sz w:val="15"/>
        </w:rPr>
        <w:t>OES (Occupational Exposure Standard) for respirable kaolin dust is 2.0mg/m</w:t>
      </w:r>
      <w:r>
        <w:rPr>
          <w:rFonts w:ascii="Verdana" w:hAnsi="Verdana"/>
          <w:color w:val="000000"/>
          <w:spacing w:val="-4"/>
          <w:sz w:val="15"/>
          <w:vertAlign w:val="superscript"/>
        </w:rPr>
        <w:t>3</w:t>
      </w:r>
      <w:r>
        <w:rPr>
          <w:rFonts w:ascii="Verdana" w:hAnsi="Verdana"/>
          <w:color w:val="000000"/>
          <w:spacing w:val="-4"/>
          <w:sz w:val="15"/>
        </w:rPr>
        <w:t xml:space="preserve"> in a TWA 8 hr reference period.</w:t>
      </w:r>
    </w:p>
    <w:p w:rsidR="00395BC3" w:rsidRDefault="00890D37">
      <w:pPr>
        <w:spacing w:before="180" w:line="204" w:lineRule="auto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Alunite:</w:t>
      </w:r>
    </w:p>
    <w:p w:rsidR="00395BC3" w:rsidRDefault="00890D37">
      <w:pPr>
        <w:tabs>
          <w:tab w:val="decimal" w:pos="5064"/>
        </w:tabs>
        <w:spacing w:line="211" w:lineRule="auto"/>
        <w:rPr>
          <w:rFonts w:ascii="Verdana" w:hAnsi="Verdana"/>
          <w:color w:val="000000"/>
          <w:spacing w:val="-6"/>
          <w:sz w:val="15"/>
        </w:rPr>
      </w:pPr>
      <w:r>
        <w:rPr>
          <w:rFonts w:ascii="Verdana" w:hAnsi="Verdana"/>
          <w:color w:val="000000"/>
          <w:spacing w:val="-6"/>
          <w:sz w:val="15"/>
        </w:rPr>
        <w:t>CAS number:</w:t>
      </w:r>
      <w:r>
        <w:rPr>
          <w:rFonts w:ascii="Verdana" w:hAnsi="Verdana"/>
          <w:color w:val="000000"/>
          <w:spacing w:val="-6"/>
          <w:sz w:val="15"/>
        </w:rPr>
        <w:tab/>
      </w:r>
      <w:r>
        <w:rPr>
          <w:rFonts w:ascii="Verdana" w:hAnsi="Verdana"/>
          <w:color w:val="000000"/>
          <w:spacing w:val="-10"/>
          <w:sz w:val="15"/>
        </w:rPr>
        <w:t>10043-01-3</w:t>
      </w:r>
    </w:p>
    <w:p w:rsidR="00395BC3" w:rsidRDefault="00890D37">
      <w:pPr>
        <w:tabs>
          <w:tab w:val="decimal" w:pos="5064"/>
        </w:tabs>
        <w:spacing w:before="36" w:line="211" w:lineRule="auto"/>
        <w:rPr>
          <w:rFonts w:ascii="Verdana" w:hAnsi="Verdana"/>
          <w:color w:val="000000"/>
          <w:spacing w:val="-6"/>
          <w:sz w:val="15"/>
        </w:rPr>
      </w:pPr>
      <w:r>
        <w:rPr>
          <w:rFonts w:ascii="Verdana" w:hAnsi="Verdana"/>
          <w:color w:val="000000"/>
          <w:spacing w:val="-6"/>
          <w:sz w:val="15"/>
        </w:rPr>
        <w:t>EINCS number:</w:t>
      </w:r>
      <w:r>
        <w:rPr>
          <w:rFonts w:ascii="Verdana" w:hAnsi="Verdana"/>
          <w:color w:val="000000"/>
          <w:spacing w:val="-6"/>
          <w:sz w:val="15"/>
        </w:rPr>
        <w:tab/>
      </w:r>
      <w:r>
        <w:rPr>
          <w:rFonts w:ascii="Verdana" w:hAnsi="Verdana"/>
          <w:color w:val="000000"/>
          <w:spacing w:val="-8"/>
          <w:sz w:val="15"/>
        </w:rPr>
        <w:t>233-141-3</w:t>
      </w:r>
    </w:p>
    <w:p w:rsidR="00395BC3" w:rsidRDefault="00890D37">
      <w:pPr>
        <w:spacing w:before="180" w:line="283" w:lineRule="auto"/>
        <w:rPr>
          <w:rFonts w:ascii="Verdana" w:hAnsi="Verdana"/>
          <w:color w:val="000000"/>
          <w:spacing w:val="-4"/>
          <w:sz w:val="15"/>
        </w:rPr>
      </w:pPr>
      <w:r>
        <w:rPr>
          <w:rFonts w:ascii="Verdana" w:hAnsi="Verdana"/>
          <w:color w:val="000000"/>
          <w:spacing w:val="-4"/>
          <w:sz w:val="15"/>
        </w:rPr>
        <w:t>OES (Occupational Exposure Standard) for respirable dust is 2.3 mg/m</w:t>
      </w:r>
      <w:r>
        <w:rPr>
          <w:rFonts w:ascii="Verdana" w:hAnsi="Verdana"/>
          <w:color w:val="000000"/>
          <w:spacing w:val="-4"/>
          <w:sz w:val="15"/>
          <w:vertAlign w:val="superscript"/>
        </w:rPr>
        <w:t>3</w:t>
      </w:r>
      <w:r>
        <w:rPr>
          <w:rFonts w:ascii="Verdana" w:hAnsi="Verdana"/>
          <w:color w:val="000000"/>
          <w:spacing w:val="-4"/>
          <w:sz w:val="15"/>
        </w:rPr>
        <w:t xml:space="preserve"> in a TWA 8 hr reference period.</w:t>
      </w:r>
    </w:p>
    <w:p w:rsidR="00395BC3" w:rsidRDefault="00890D37">
      <w:pPr>
        <w:spacing w:before="180" w:line="204" w:lineRule="auto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Section 3: Hazard Information</w:t>
      </w:r>
    </w:p>
    <w:p w:rsidR="00395BC3" w:rsidRDefault="00890D37">
      <w:pPr>
        <w:spacing w:before="252"/>
        <w:rPr>
          <w:rFonts w:ascii="Verdana" w:hAnsi="Verdana"/>
          <w:color w:val="000000"/>
          <w:spacing w:val="-4"/>
          <w:sz w:val="15"/>
        </w:rPr>
      </w:pPr>
      <w:r>
        <w:rPr>
          <w:rFonts w:ascii="Verdana" w:hAnsi="Verdana"/>
          <w:color w:val="000000"/>
          <w:spacing w:val="-4"/>
          <w:sz w:val="15"/>
        </w:rPr>
        <w:t>Halloysite exhibits low acute toxicity.</w:t>
      </w:r>
    </w:p>
    <w:p w:rsidR="00395BC3" w:rsidRDefault="00890D37">
      <w:pPr>
        <w:spacing w:before="180"/>
        <w:rPr>
          <w:rFonts w:ascii="Arial" w:hAnsi="Arial"/>
          <w:b/>
          <w:color w:val="000000"/>
          <w:spacing w:val="4"/>
          <w:w w:val="105"/>
          <w:sz w:val="15"/>
        </w:rPr>
      </w:pPr>
      <w:r>
        <w:rPr>
          <w:rFonts w:ascii="Arial" w:hAnsi="Arial"/>
          <w:b/>
          <w:color w:val="000000"/>
          <w:spacing w:val="4"/>
          <w:w w:val="105"/>
          <w:sz w:val="15"/>
        </w:rPr>
        <w:t>Routes of Entry: Skin: NO Eyes: YES I</w:t>
      </w:r>
      <w:r>
        <w:rPr>
          <w:rFonts w:ascii="Arial" w:hAnsi="Arial"/>
          <w:b/>
          <w:color w:val="000000"/>
          <w:spacing w:val="4"/>
          <w:w w:val="105"/>
          <w:sz w:val="15"/>
        </w:rPr>
        <w:t>ngestion: YES Inhalation: YES</w:t>
      </w:r>
    </w:p>
    <w:p w:rsidR="00395BC3" w:rsidRDefault="00890D37">
      <w:pPr>
        <w:spacing w:before="180"/>
        <w:rPr>
          <w:rFonts w:ascii="Verdana" w:hAnsi="Verdana"/>
          <w:color w:val="000000"/>
          <w:spacing w:val="-3"/>
          <w:sz w:val="15"/>
        </w:rPr>
      </w:pPr>
      <w:r>
        <w:rPr>
          <w:rFonts w:ascii="Verdana" w:hAnsi="Verdana"/>
          <w:color w:val="000000"/>
          <w:spacing w:val="-3"/>
          <w:sz w:val="15"/>
        </w:rPr>
        <w:t>Skin Contact: No adverse effectswould be expected.</w:t>
      </w:r>
    </w:p>
    <w:p w:rsidR="00395BC3" w:rsidRDefault="00890D37">
      <w:pPr>
        <w:spacing w:before="216" w:line="480" w:lineRule="auto"/>
        <w:ind w:right="3744"/>
        <w:rPr>
          <w:rFonts w:ascii="Verdana" w:hAnsi="Verdana"/>
          <w:color w:val="000000"/>
          <w:spacing w:val="-8"/>
          <w:sz w:val="15"/>
        </w:rPr>
      </w:pPr>
      <w:r>
        <w:rPr>
          <w:rFonts w:ascii="Verdana" w:hAnsi="Verdana"/>
          <w:color w:val="000000"/>
          <w:spacing w:val="-8"/>
          <w:sz w:val="15"/>
        </w:rPr>
        <w:t xml:space="preserve">Eye contact: Contact with eye tissues may cause mechanical irritation and possible inflammation. </w:t>
      </w:r>
      <w:r>
        <w:rPr>
          <w:rFonts w:ascii="Verdana" w:hAnsi="Verdana"/>
          <w:color w:val="000000"/>
          <w:spacing w:val="-4"/>
          <w:sz w:val="15"/>
        </w:rPr>
        <w:t>Ingestion: No adverse health effects expected from normal and incidental ingestion.</w:t>
      </w:r>
    </w:p>
    <w:p w:rsidR="00395BC3" w:rsidRDefault="00890D37">
      <w:pPr>
        <w:spacing w:before="108"/>
        <w:jc w:val="both"/>
        <w:rPr>
          <w:rFonts w:ascii="Verdana" w:hAnsi="Verdana"/>
          <w:color w:val="000000"/>
          <w:spacing w:val="-5"/>
          <w:sz w:val="15"/>
        </w:rPr>
      </w:pPr>
      <w:r>
        <w:rPr>
          <w:rFonts w:ascii="Verdana" w:hAnsi="Verdana"/>
          <w:color w:val="000000"/>
          <w:spacing w:val="-5"/>
          <w:sz w:val="15"/>
        </w:rPr>
        <w:t>Inhalation: Due to the very small size distribution of the product there exists the possibility of the generation of respirable dust during handling and use the product. Pr</w:t>
      </w:r>
      <w:r>
        <w:rPr>
          <w:rFonts w:ascii="Verdana" w:hAnsi="Verdana"/>
          <w:color w:val="000000"/>
          <w:spacing w:val="-5"/>
          <w:sz w:val="15"/>
        </w:rPr>
        <w:t>olonged inhalation of the respirable dust may cause lung fibrosis. Prolonged exposure symptoms include cough and breathlessness. / potential occupational exposure must be monitored and controlled.</w:t>
      </w:r>
    </w:p>
    <w:p w:rsidR="00395BC3" w:rsidRDefault="00890D37">
      <w:pPr>
        <w:spacing w:before="144"/>
        <w:rPr>
          <w:rFonts w:ascii="Verdana" w:hAnsi="Verdana"/>
          <w:color w:val="000000"/>
          <w:spacing w:val="-4"/>
          <w:sz w:val="15"/>
        </w:rPr>
      </w:pPr>
      <w:r>
        <w:rPr>
          <w:rFonts w:ascii="Verdana" w:hAnsi="Verdana"/>
          <w:color w:val="000000"/>
          <w:spacing w:val="-4"/>
          <w:sz w:val="15"/>
        </w:rPr>
        <w:t>Wet spillage can constitute a slip hazard.</w:t>
      </w:r>
    </w:p>
    <w:p w:rsidR="00395BC3" w:rsidRDefault="00890D37">
      <w:pPr>
        <w:spacing w:before="144" w:line="204" w:lineRule="auto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Section 4: First</w:t>
      </w:r>
      <w:r>
        <w:rPr>
          <w:rFonts w:ascii="Arial" w:hAnsi="Arial"/>
          <w:b/>
          <w:color w:val="000000"/>
          <w:sz w:val="20"/>
        </w:rPr>
        <w:t xml:space="preserve"> Aid Measures</w:t>
      </w:r>
    </w:p>
    <w:p w:rsidR="00395BC3" w:rsidRDefault="00890D37">
      <w:pPr>
        <w:tabs>
          <w:tab w:val="right" w:pos="7639"/>
        </w:tabs>
        <w:spacing w:before="36"/>
        <w:rPr>
          <w:rFonts w:ascii="Arial" w:hAnsi="Arial"/>
          <w:color w:val="000000"/>
          <w:spacing w:val="-4"/>
          <w:sz w:val="19"/>
        </w:rPr>
      </w:pPr>
      <w:r>
        <w:rPr>
          <w:rFonts w:ascii="Arial" w:hAnsi="Arial"/>
          <w:color w:val="000000"/>
          <w:spacing w:val="-4"/>
          <w:sz w:val="19"/>
        </w:rPr>
        <w:t>Inhalation of Dust:</w:t>
      </w:r>
      <w:r>
        <w:rPr>
          <w:rFonts w:ascii="Arial" w:hAnsi="Arial"/>
          <w:color w:val="000000"/>
          <w:spacing w:val="-4"/>
          <w:sz w:val="19"/>
        </w:rPr>
        <w:tab/>
      </w:r>
      <w:r>
        <w:rPr>
          <w:rFonts w:ascii="Verdana" w:hAnsi="Verdana"/>
          <w:color w:val="000000"/>
          <w:spacing w:val="-4"/>
          <w:sz w:val="15"/>
        </w:rPr>
        <w:t>Remove to Fresh Air, if symptoms develop medical advice should be sought.</w:t>
      </w:r>
    </w:p>
    <w:p w:rsidR="00395BC3" w:rsidRDefault="00890D37">
      <w:pPr>
        <w:tabs>
          <w:tab w:val="right" w:pos="5140"/>
        </w:tabs>
        <w:spacing w:before="180"/>
        <w:rPr>
          <w:rFonts w:ascii="Arial" w:hAnsi="Arial"/>
          <w:color w:val="000000"/>
          <w:spacing w:val="-4"/>
          <w:sz w:val="19"/>
        </w:rPr>
      </w:pPr>
      <w:r>
        <w:rPr>
          <w:rFonts w:ascii="Arial" w:hAnsi="Arial"/>
          <w:color w:val="000000"/>
          <w:spacing w:val="-4"/>
          <w:sz w:val="19"/>
        </w:rPr>
        <w:t>Skin Contact:</w:t>
      </w:r>
      <w:r>
        <w:rPr>
          <w:rFonts w:ascii="Arial" w:hAnsi="Arial"/>
          <w:color w:val="000000"/>
          <w:spacing w:val="-4"/>
          <w:sz w:val="19"/>
        </w:rPr>
        <w:tab/>
      </w:r>
      <w:r>
        <w:rPr>
          <w:rFonts w:ascii="Verdana" w:hAnsi="Verdana"/>
          <w:color w:val="000000"/>
          <w:spacing w:val="-4"/>
          <w:sz w:val="15"/>
        </w:rPr>
        <w:t>Wash affected areas with soap and water.</w:t>
      </w:r>
    </w:p>
    <w:p w:rsidR="00395BC3" w:rsidRDefault="00890D37">
      <w:pPr>
        <w:tabs>
          <w:tab w:val="right" w:pos="3758"/>
        </w:tabs>
        <w:spacing w:before="180"/>
        <w:rPr>
          <w:rFonts w:ascii="Arial" w:hAnsi="Arial"/>
          <w:color w:val="000000"/>
          <w:spacing w:val="-6"/>
          <w:sz w:val="19"/>
        </w:rPr>
      </w:pPr>
      <w:r>
        <w:rPr>
          <w:rFonts w:ascii="Arial" w:hAnsi="Arial"/>
          <w:color w:val="000000"/>
          <w:spacing w:val="-6"/>
          <w:sz w:val="19"/>
        </w:rPr>
        <w:t>Eye Contact:</w:t>
      </w:r>
      <w:r>
        <w:rPr>
          <w:rFonts w:ascii="Arial" w:hAnsi="Arial"/>
          <w:color w:val="000000"/>
          <w:spacing w:val="-6"/>
          <w:sz w:val="19"/>
        </w:rPr>
        <w:tab/>
      </w:r>
      <w:r>
        <w:rPr>
          <w:rFonts w:ascii="Arial" w:hAnsi="Arial"/>
          <w:color w:val="000000"/>
          <w:spacing w:val="8"/>
          <w:sz w:val="14"/>
        </w:rPr>
        <w:t>Flush with clean water</w:t>
      </w:r>
    </w:p>
    <w:p w:rsidR="00395BC3" w:rsidRDefault="00890D37">
      <w:pPr>
        <w:tabs>
          <w:tab w:val="right" w:pos="3866"/>
        </w:tabs>
        <w:spacing w:before="216"/>
        <w:rPr>
          <w:rFonts w:ascii="Arial" w:hAnsi="Arial"/>
          <w:color w:val="000000"/>
          <w:spacing w:val="-4"/>
          <w:sz w:val="19"/>
        </w:rPr>
      </w:pPr>
      <w:r>
        <w:rPr>
          <w:rFonts w:ascii="Arial" w:hAnsi="Arial"/>
          <w:color w:val="000000"/>
          <w:spacing w:val="-4"/>
          <w:sz w:val="19"/>
        </w:rPr>
        <w:t>Ingestion:</w:t>
      </w:r>
      <w:r>
        <w:rPr>
          <w:rFonts w:ascii="Arial" w:hAnsi="Arial"/>
          <w:color w:val="000000"/>
          <w:spacing w:val="-4"/>
          <w:sz w:val="19"/>
        </w:rPr>
        <w:tab/>
      </w:r>
      <w:r>
        <w:rPr>
          <w:rFonts w:ascii="Verdana" w:hAnsi="Verdana"/>
          <w:color w:val="000000"/>
          <w:spacing w:val="-6"/>
          <w:sz w:val="16"/>
        </w:rPr>
        <w:t xml:space="preserve">Rinse </w:t>
      </w:r>
      <w:r>
        <w:rPr>
          <w:rFonts w:ascii="Verdana" w:hAnsi="Verdana"/>
          <w:color w:val="000000"/>
          <w:spacing w:val="-6"/>
          <w:sz w:val="15"/>
        </w:rPr>
        <w:t>mouth with water</w:t>
      </w:r>
    </w:p>
    <w:p w:rsidR="00395BC3" w:rsidRDefault="00890D37">
      <w:pPr>
        <w:spacing w:before="180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Section 5: Fire Fighting Measures</w:t>
      </w:r>
    </w:p>
    <w:p w:rsidR="00395BC3" w:rsidRDefault="00890D37">
      <w:pPr>
        <w:rPr>
          <w:rFonts w:ascii="Verdana" w:hAnsi="Verdana"/>
          <w:color w:val="000000"/>
          <w:spacing w:val="-3"/>
          <w:sz w:val="15"/>
        </w:rPr>
      </w:pPr>
      <w:r>
        <w:rPr>
          <w:rFonts w:ascii="Verdana" w:hAnsi="Verdana"/>
          <w:color w:val="000000"/>
          <w:spacing w:val="-3"/>
          <w:sz w:val="15"/>
        </w:rPr>
        <w:t>NOT Flammable- no precautions necessary</w:t>
      </w:r>
    </w:p>
    <w:p w:rsidR="00395BC3" w:rsidRDefault="00890D37">
      <w:pPr>
        <w:spacing w:before="216" w:line="208" w:lineRule="auto"/>
        <w:rPr>
          <w:rFonts w:ascii="Arial" w:hAnsi="Arial"/>
          <w:b/>
          <w:color w:val="000000"/>
          <w:spacing w:val="1"/>
          <w:sz w:val="20"/>
        </w:rPr>
      </w:pPr>
      <w:r>
        <w:rPr>
          <w:rFonts w:ascii="Arial" w:hAnsi="Arial"/>
          <w:b/>
          <w:color w:val="000000"/>
          <w:spacing w:val="1"/>
          <w:sz w:val="20"/>
        </w:rPr>
        <w:t>Section 6: Accidental Release Measures</w:t>
      </w:r>
    </w:p>
    <w:p w:rsidR="00395BC3" w:rsidRDefault="00890D37">
      <w:pPr>
        <w:rPr>
          <w:rFonts w:ascii="Verdana" w:hAnsi="Verdana"/>
          <w:color w:val="000000"/>
          <w:spacing w:val="-5"/>
          <w:sz w:val="15"/>
        </w:rPr>
      </w:pPr>
      <w:r>
        <w:rPr>
          <w:rFonts w:ascii="Verdana" w:hAnsi="Verdana"/>
          <w:color w:val="000000"/>
          <w:spacing w:val="-5"/>
          <w:sz w:val="15"/>
        </w:rPr>
        <w:t>Dry powder should be vacuumed or cleaned by other means wherein dust is not generated.</w:t>
      </w:r>
    </w:p>
    <w:p w:rsidR="00395BC3" w:rsidRDefault="00890D37">
      <w:pPr>
        <w:spacing w:before="180" w:line="268" w:lineRule="auto"/>
        <w:rPr>
          <w:rFonts w:ascii="Verdana" w:hAnsi="Verdana"/>
          <w:color w:val="000000"/>
          <w:spacing w:val="-4"/>
          <w:sz w:val="15"/>
        </w:rPr>
      </w:pPr>
      <w:r>
        <w:rPr>
          <w:rFonts w:ascii="Verdana" w:hAnsi="Verdana"/>
          <w:color w:val="000000"/>
          <w:spacing w:val="-4"/>
          <w:sz w:val="15"/>
        </w:rPr>
        <w:t>Wet Slurry Material Spill: Use a dry. inert. absorbent solid to absorb the slurry fluids and then collect for disposal. Do not discharge to surface water.</w:t>
      </w:r>
    </w:p>
    <w:p w:rsidR="00395BC3" w:rsidRDefault="00890D37">
      <w:pPr>
        <w:spacing w:before="216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Section 7: Handling and Storage</w:t>
      </w:r>
    </w:p>
    <w:p w:rsidR="00395BC3" w:rsidRDefault="00890D37">
      <w:pPr>
        <w:ind w:right="144"/>
        <w:rPr>
          <w:rFonts w:ascii="Verdana" w:hAnsi="Verdana"/>
          <w:color w:val="000000"/>
          <w:spacing w:val="-6"/>
          <w:sz w:val="15"/>
        </w:rPr>
      </w:pPr>
      <w:r>
        <w:rPr>
          <w:rFonts w:ascii="Arial" w:hAnsi="Arial"/>
          <w:b/>
          <w:color w:val="000000"/>
          <w:spacing w:val="-4"/>
          <w:sz w:val="20"/>
        </w:rPr>
        <w:t xml:space="preserve">Handling: </w:t>
      </w:r>
      <w:r>
        <w:rPr>
          <w:rFonts w:ascii="Verdana" w:hAnsi="Verdana"/>
          <w:color w:val="000000"/>
          <w:spacing w:val="-4"/>
          <w:sz w:val="15"/>
        </w:rPr>
        <w:t>Use appropriate methods to avoid the generation of airborne</w:t>
      </w:r>
      <w:r>
        <w:rPr>
          <w:rFonts w:ascii="Verdana" w:hAnsi="Verdana"/>
          <w:color w:val="000000"/>
          <w:spacing w:val="-4"/>
          <w:sz w:val="15"/>
        </w:rPr>
        <w:t xml:space="preserve"> dust when handling dry </w:t>
      </w:r>
      <w:r>
        <w:rPr>
          <w:rFonts w:ascii="Tahoma" w:hAnsi="Tahoma"/>
          <w:color w:val="000000"/>
          <w:spacing w:val="-4"/>
          <w:w w:val="95"/>
          <w:sz w:val="16"/>
        </w:rPr>
        <w:t xml:space="preserve">powders. </w:t>
      </w:r>
      <w:r>
        <w:rPr>
          <w:rFonts w:ascii="Verdana" w:hAnsi="Verdana"/>
          <w:color w:val="000000"/>
          <w:spacing w:val="-4"/>
          <w:sz w:val="15"/>
        </w:rPr>
        <w:t xml:space="preserve">No precaution is necessary if handling </w:t>
      </w:r>
      <w:r>
        <w:rPr>
          <w:rFonts w:ascii="Verdana" w:hAnsi="Verdana"/>
          <w:color w:val="000000"/>
          <w:spacing w:val="-6"/>
          <w:sz w:val="15"/>
        </w:rPr>
        <w:t>slurries.</w:t>
      </w:r>
    </w:p>
    <w:p w:rsidR="00890D37" w:rsidRDefault="00890D37">
      <w:pPr>
        <w:ind w:right="144"/>
        <w:rPr>
          <w:rFonts w:ascii="Verdana" w:hAnsi="Verdana"/>
          <w:color w:val="000000"/>
          <w:spacing w:val="-6"/>
          <w:sz w:val="15"/>
        </w:rPr>
      </w:pPr>
    </w:p>
    <w:p w:rsidR="00890D37" w:rsidRDefault="00890D37">
      <w:pPr>
        <w:ind w:right="144"/>
        <w:rPr>
          <w:rFonts w:ascii="Verdana" w:hAnsi="Verdana"/>
          <w:color w:val="000000"/>
          <w:spacing w:val="-6"/>
          <w:sz w:val="15"/>
        </w:rPr>
      </w:pPr>
    </w:p>
    <w:p w:rsidR="00890D37" w:rsidRDefault="00890D37">
      <w:pPr>
        <w:ind w:right="144"/>
        <w:rPr>
          <w:rFonts w:ascii="Verdana" w:hAnsi="Verdana"/>
          <w:color w:val="000000"/>
          <w:spacing w:val="-6"/>
          <w:sz w:val="15"/>
        </w:rPr>
      </w:pPr>
    </w:p>
    <w:p w:rsidR="00890D37" w:rsidRDefault="00890D37">
      <w:pPr>
        <w:ind w:right="144"/>
        <w:rPr>
          <w:rFonts w:ascii="Verdana" w:hAnsi="Verdana"/>
          <w:color w:val="000000"/>
          <w:spacing w:val="-6"/>
          <w:sz w:val="15"/>
        </w:rPr>
      </w:pPr>
    </w:p>
    <w:p w:rsidR="00890D37" w:rsidRDefault="00890D37">
      <w:pPr>
        <w:ind w:right="144"/>
        <w:rPr>
          <w:rFonts w:ascii="Verdana" w:hAnsi="Verdana"/>
          <w:color w:val="000000"/>
          <w:spacing w:val="-6"/>
          <w:sz w:val="15"/>
        </w:rPr>
      </w:pPr>
    </w:p>
    <w:p w:rsidR="00890D37" w:rsidRDefault="00890D37">
      <w:pPr>
        <w:ind w:right="144"/>
        <w:rPr>
          <w:rFonts w:ascii="Verdana" w:hAnsi="Verdana"/>
          <w:color w:val="000000"/>
          <w:spacing w:val="-6"/>
          <w:sz w:val="15"/>
        </w:rPr>
      </w:pPr>
    </w:p>
    <w:p w:rsidR="00890D37" w:rsidRDefault="00890D37">
      <w:pPr>
        <w:ind w:right="144"/>
        <w:rPr>
          <w:rFonts w:ascii="Verdana" w:hAnsi="Verdana"/>
          <w:color w:val="000000"/>
          <w:spacing w:val="-6"/>
          <w:sz w:val="15"/>
        </w:rPr>
      </w:pPr>
    </w:p>
    <w:p w:rsidR="00890D37" w:rsidRDefault="00890D37">
      <w:pPr>
        <w:ind w:right="144"/>
        <w:rPr>
          <w:rFonts w:ascii="Verdana" w:hAnsi="Verdana"/>
          <w:color w:val="000000"/>
          <w:spacing w:val="-6"/>
          <w:sz w:val="15"/>
        </w:rPr>
      </w:pPr>
    </w:p>
    <w:p w:rsidR="00890D37" w:rsidRDefault="00890D37">
      <w:pPr>
        <w:ind w:right="144"/>
        <w:rPr>
          <w:rFonts w:ascii="Verdana" w:hAnsi="Verdana"/>
          <w:color w:val="000000"/>
          <w:spacing w:val="-6"/>
          <w:sz w:val="15"/>
        </w:rPr>
      </w:pPr>
    </w:p>
    <w:p w:rsidR="00890D37" w:rsidRDefault="00890D37">
      <w:pPr>
        <w:ind w:right="144"/>
        <w:rPr>
          <w:rFonts w:ascii="Verdana" w:hAnsi="Verdana"/>
          <w:color w:val="000000"/>
          <w:spacing w:val="-6"/>
          <w:sz w:val="15"/>
        </w:rPr>
      </w:pPr>
    </w:p>
    <w:p w:rsidR="00890D37" w:rsidRDefault="00890D37">
      <w:pPr>
        <w:ind w:right="144"/>
        <w:rPr>
          <w:rFonts w:ascii="Verdana" w:hAnsi="Verdana"/>
          <w:color w:val="000000"/>
          <w:spacing w:val="-6"/>
          <w:sz w:val="15"/>
        </w:rPr>
      </w:pPr>
    </w:p>
    <w:p w:rsidR="00890D37" w:rsidRDefault="00890D37" w:rsidP="00890D37">
      <w:pPr>
        <w:spacing w:line="248" w:lineRule="exact"/>
        <w:rPr>
          <w:rFonts w:ascii="Verdana" w:hAnsi="Verdana"/>
          <w:color w:val="0B080D"/>
          <w:spacing w:val="-5"/>
          <w:sz w:val="15"/>
        </w:rPr>
      </w:pPr>
      <w:r>
        <w:rPr>
          <w:rFonts w:ascii="Verdana" w:hAnsi="Verdana"/>
          <w:color w:val="0B080D"/>
          <w:spacing w:val="-5"/>
          <w:sz w:val="15"/>
        </w:rPr>
        <w:t>An</w:t>
      </w:r>
      <w:r>
        <w:rPr>
          <w:rFonts w:ascii="Arial" w:hAnsi="Arial"/>
          <w:color w:val="0B080D"/>
          <w:spacing w:val="-5"/>
          <w:w w:val="205"/>
          <w:sz w:val="15"/>
          <w:vertAlign w:val="subscript"/>
        </w:rPr>
        <w:t xml:space="preserve"> </w:t>
      </w:r>
      <w:r>
        <w:rPr>
          <w:rFonts w:ascii="Verdana" w:hAnsi="Verdana"/>
          <w:color w:val="0B080D"/>
          <w:spacing w:val="-5"/>
          <w:sz w:val="15"/>
        </w:rPr>
        <w:t>approved face mask should be worn to prevent inhalation of the dry powder.</w:t>
      </w:r>
    </w:p>
    <w:p w:rsidR="00890D37" w:rsidRDefault="00890D37" w:rsidP="00890D37">
      <w:pPr>
        <w:spacing w:before="72" w:line="190" w:lineRule="exact"/>
        <w:rPr>
          <w:rFonts w:ascii="Arial" w:hAnsi="Arial"/>
          <w:b/>
          <w:color w:val="0B080D"/>
          <w:spacing w:val="-3"/>
          <w:sz w:val="19"/>
        </w:rPr>
      </w:pPr>
      <w:r>
        <w:rPr>
          <w:rFonts w:ascii="Arial" w:hAnsi="Arial"/>
          <w:b/>
          <w:color w:val="0B080D"/>
          <w:spacing w:val="-3"/>
          <w:sz w:val="19"/>
        </w:rPr>
        <w:t xml:space="preserve">Storage: </w:t>
      </w:r>
      <w:r>
        <w:rPr>
          <w:rFonts w:ascii="Verdana" w:hAnsi="Verdana"/>
          <w:color w:val="0B080D"/>
          <w:spacing w:val="-3"/>
          <w:sz w:val="15"/>
        </w:rPr>
        <w:t>Powders should be stored in a dry covered area, slurries should be stored in proper containment.</w:t>
      </w:r>
    </w:p>
    <w:p w:rsidR="00890D37" w:rsidRDefault="00890D37" w:rsidP="00890D37">
      <w:pPr>
        <w:spacing w:before="144" w:line="230" w:lineRule="exact"/>
        <w:ind w:right="5760"/>
        <w:rPr>
          <w:rFonts w:ascii="Arial" w:hAnsi="Arial"/>
          <w:b/>
          <w:color w:val="0B080D"/>
          <w:spacing w:val="1"/>
          <w:sz w:val="19"/>
        </w:rPr>
      </w:pPr>
      <w:r>
        <w:rPr>
          <w:rFonts w:ascii="Arial" w:hAnsi="Arial"/>
          <w:b/>
          <w:color w:val="0B080D"/>
          <w:spacing w:val="1"/>
          <w:sz w:val="19"/>
        </w:rPr>
        <w:t xml:space="preserve">Section 8: Exposure Control and Personal Protection </w:t>
      </w:r>
      <w:r>
        <w:rPr>
          <w:rFonts w:ascii="Arial" w:hAnsi="Arial"/>
          <w:b/>
          <w:color w:val="0B080D"/>
          <w:spacing w:val="2"/>
          <w:sz w:val="19"/>
        </w:rPr>
        <w:t>Respiratory protection:</w:t>
      </w:r>
    </w:p>
    <w:p w:rsidR="00890D37" w:rsidRDefault="00890D37" w:rsidP="00890D37">
      <w:pPr>
        <w:spacing w:before="180" w:line="245" w:lineRule="exact"/>
        <w:rPr>
          <w:rFonts w:ascii="Arial" w:hAnsi="Arial"/>
          <w:b/>
          <w:color w:val="0B080D"/>
          <w:spacing w:val="4"/>
          <w:sz w:val="19"/>
        </w:rPr>
      </w:pPr>
      <w:r>
        <w:rPr>
          <w:rFonts w:ascii="Arial" w:hAnsi="Arial"/>
          <w:b/>
          <w:color w:val="0B080D"/>
          <w:spacing w:val="4"/>
          <w:sz w:val="19"/>
        </w:rPr>
        <w:t>Workplace control parameters:</w:t>
      </w:r>
    </w:p>
    <w:p w:rsidR="00890D37" w:rsidRDefault="00890D37" w:rsidP="00890D37">
      <w:pPr>
        <w:tabs>
          <w:tab w:val="left" w:pos="2941"/>
          <w:tab w:val="right" w:pos="7088"/>
        </w:tabs>
        <w:spacing w:before="144" w:line="241" w:lineRule="exact"/>
        <w:rPr>
          <w:rFonts w:ascii="Arial" w:hAnsi="Arial"/>
          <w:b/>
          <w:color w:val="0B080D"/>
          <w:spacing w:val="-6"/>
          <w:sz w:val="19"/>
        </w:rPr>
      </w:pPr>
      <w:r>
        <w:rPr>
          <w:rFonts w:ascii="Arial" w:hAnsi="Arial"/>
          <w:b/>
          <w:color w:val="0B080D"/>
          <w:spacing w:val="-6"/>
          <w:sz w:val="19"/>
        </w:rPr>
        <w:t>Nuisance Dusts:</w:t>
      </w:r>
      <w:r>
        <w:rPr>
          <w:rFonts w:ascii="Arial" w:hAnsi="Arial"/>
          <w:b/>
          <w:color w:val="0B080D"/>
          <w:spacing w:val="-6"/>
          <w:sz w:val="19"/>
        </w:rPr>
        <w:tab/>
      </w:r>
      <w:r>
        <w:rPr>
          <w:rFonts w:ascii="Arial" w:hAnsi="Arial"/>
          <w:b/>
          <w:color w:val="0B080D"/>
          <w:sz w:val="19"/>
        </w:rPr>
        <w:t>OSHA PEL (TWA)</w:t>
      </w:r>
      <w:r>
        <w:rPr>
          <w:rFonts w:ascii="Arial" w:hAnsi="Arial"/>
          <w:b/>
          <w:color w:val="0B080D"/>
          <w:sz w:val="19"/>
        </w:rPr>
        <w:tab/>
        <w:t>ACGIH (TWA)</w:t>
      </w:r>
    </w:p>
    <w:p w:rsidR="00890D37" w:rsidRDefault="00890D37" w:rsidP="00890D37">
      <w:pPr>
        <w:tabs>
          <w:tab w:val="left" w:pos="2941"/>
          <w:tab w:val="right" w:pos="6566"/>
        </w:tabs>
        <w:spacing w:before="108" w:line="306" w:lineRule="exact"/>
        <w:rPr>
          <w:rFonts w:ascii="Arial" w:hAnsi="Arial"/>
          <w:b/>
          <w:color w:val="0B080D"/>
          <w:spacing w:val="-2"/>
          <w:sz w:val="19"/>
        </w:rPr>
      </w:pPr>
      <w:r>
        <w:rPr>
          <w:rFonts w:ascii="Arial" w:hAnsi="Arial"/>
          <w:b/>
          <w:color w:val="0B080D"/>
          <w:spacing w:val="-2"/>
          <w:sz w:val="19"/>
        </w:rPr>
        <w:t>Respirable Dusts:</w:t>
      </w:r>
      <w:r>
        <w:rPr>
          <w:rFonts w:ascii="Arial" w:hAnsi="Arial"/>
          <w:b/>
          <w:color w:val="0B080D"/>
          <w:spacing w:val="-2"/>
          <w:sz w:val="19"/>
        </w:rPr>
        <w:tab/>
      </w:r>
      <w:r>
        <w:rPr>
          <w:rFonts w:ascii="Arial" w:hAnsi="Arial"/>
          <w:b/>
          <w:color w:val="0B080D"/>
          <w:sz w:val="19"/>
        </w:rPr>
        <w:t>5 mg/M</w:t>
      </w:r>
      <w:r>
        <w:rPr>
          <w:rFonts w:ascii="Arial" w:hAnsi="Arial"/>
          <w:b/>
          <w:color w:val="0B080D"/>
          <w:sz w:val="19"/>
          <w:vertAlign w:val="superscript"/>
        </w:rPr>
        <w:t>3</w:t>
      </w:r>
      <w:r>
        <w:rPr>
          <w:rFonts w:ascii="Arial" w:hAnsi="Arial"/>
          <w:b/>
          <w:color w:val="0B080D"/>
          <w:sz w:val="19"/>
        </w:rPr>
        <w:tab/>
        <w:t>3 mg/M</w:t>
      </w:r>
      <w:r>
        <w:rPr>
          <w:rFonts w:ascii="Arial" w:hAnsi="Arial"/>
          <w:b/>
          <w:color w:val="0B080D"/>
          <w:sz w:val="19"/>
          <w:vertAlign w:val="superscript"/>
        </w:rPr>
        <w:t>3</w:t>
      </w:r>
    </w:p>
    <w:p w:rsidR="00890D37" w:rsidRDefault="00890D37" w:rsidP="00890D37">
      <w:pPr>
        <w:tabs>
          <w:tab w:val="left" w:pos="2941"/>
          <w:tab w:val="right" w:pos="6674"/>
        </w:tabs>
        <w:spacing w:before="144" w:line="288" w:lineRule="exact"/>
        <w:rPr>
          <w:rFonts w:ascii="Arial" w:hAnsi="Arial"/>
          <w:b/>
          <w:color w:val="0B080D"/>
          <w:sz w:val="19"/>
        </w:rPr>
      </w:pPr>
      <w:r>
        <w:rPr>
          <w:rFonts w:ascii="Arial" w:hAnsi="Arial"/>
          <w:b/>
          <w:color w:val="0B080D"/>
          <w:sz w:val="19"/>
        </w:rPr>
        <w:t>Total Dusts:</w:t>
      </w:r>
      <w:r>
        <w:rPr>
          <w:rFonts w:ascii="Arial" w:hAnsi="Arial"/>
          <w:b/>
          <w:color w:val="0B080D"/>
          <w:sz w:val="19"/>
        </w:rPr>
        <w:tab/>
        <w:t>15 mg/M</w:t>
      </w:r>
      <w:r>
        <w:rPr>
          <w:rFonts w:ascii="Arial" w:hAnsi="Arial"/>
          <w:b/>
          <w:color w:val="0B080D"/>
          <w:sz w:val="19"/>
          <w:vertAlign w:val="superscript"/>
        </w:rPr>
        <w:t>3</w:t>
      </w:r>
      <w:r>
        <w:rPr>
          <w:rFonts w:ascii="Arial" w:hAnsi="Arial"/>
          <w:b/>
          <w:color w:val="0B080D"/>
          <w:sz w:val="19"/>
        </w:rPr>
        <w:tab/>
        <w:t>10 mg/M</w:t>
      </w:r>
      <w:r>
        <w:rPr>
          <w:rFonts w:ascii="Arial" w:hAnsi="Arial"/>
          <w:b/>
          <w:color w:val="0B080D"/>
          <w:sz w:val="19"/>
          <w:vertAlign w:val="superscript"/>
        </w:rPr>
        <w:t>3</w:t>
      </w:r>
    </w:p>
    <w:p w:rsidR="00890D37" w:rsidRDefault="00890D37" w:rsidP="00890D37">
      <w:pPr>
        <w:spacing w:before="144" w:line="240" w:lineRule="exact"/>
        <w:rPr>
          <w:rFonts w:ascii="Arial" w:hAnsi="Arial"/>
          <w:b/>
          <w:color w:val="0B080D"/>
          <w:spacing w:val="6"/>
          <w:sz w:val="19"/>
        </w:rPr>
      </w:pPr>
      <w:r>
        <w:rPr>
          <w:rFonts w:ascii="Arial" w:hAnsi="Arial"/>
          <w:b/>
          <w:color w:val="0B080D"/>
          <w:spacing w:val="6"/>
          <w:sz w:val="19"/>
        </w:rPr>
        <w:t>OSHA PEL: OSHA permissible exposure limit, 8 hours time weighted average.</w:t>
      </w:r>
    </w:p>
    <w:p w:rsidR="00890D37" w:rsidRDefault="00890D37" w:rsidP="00890D37">
      <w:pPr>
        <w:spacing w:line="229" w:lineRule="exact"/>
        <w:rPr>
          <w:rFonts w:ascii="Arial" w:hAnsi="Arial"/>
          <w:b/>
          <w:color w:val="0B080D"/>
          <w:spacing w:val="5"/>
          <w:sz w:val="19"/>
        </w:rPr>
      </w:pPr>
      <w:r>
        <w:rPr>
          <w:rFonts w:ascii="Arial" w:hAnsi="Arial"/>
          <w:b/>
          <w:color w:val="0B080D"/>
          <w:spacing w:val="5"/>
          <w:sz w:val="19"/>
        </w:rPr>
        <w:t>ACHIH TLV: American Conference of Governmental Industrial Hygienists threshold time weight average.</w:t>
      </w:r>
    </w:p>
    <w:p w:rsidR="00890D37" w:rsidRDefault="00890D37" w:rsidP="00890D37">
      <w:pPr>
        <w:spacing w:before="180" w:line="214" w:lineRule="exact"/>
        <w:ind w:right="72"/>
        <w:rPr>
          <w:rFonts w:ascii="Arial" w:hAnsi="Arial"/>
          <w:b/>
          <w:color w:val="0B080D"/>
          <w:sz w:val="19"/>
        </w:rPr>
      </w:pPr>
      <w:r>
        <w:rPr>
          <w:rFonts w:ascii="Arial" w:hAnsi="Arial"/>
          <w:b/>
          <w:color w:val="0B080D"/>
          <w:sz w:val="19"/>
        </w:rPr>
        <w:t xml:space="preserve">Engineering Controls: </w:t>
      </w:r>
      <w:r>
        <w:rPr>
          <w:rFonts w:ascii="Arial" w:hAnsi="Arial"/>
          <w:color w:val="0B080D"/>
          <w:sz w:val="20"/>
        </w:rPr>
        <w:t>Use local exhaust as required to reduce occupational exposures to within occupational exposure limits.</w:t>
      </w:r>
    </w:p>
    <w:p w:rsidR="00890D37" w:rsidRDefault="00890D37" w:rsidP="00890D37">
      <w:pPr>
        <w:spacing w:before="180" w:line="201" w:lineRule="exact"/>
        <w:rPr>
          <w:rFonts w:ascii="Arial" w:hAnsi="Arial"/>
          <w:b/>
          <w:color w:val="0B080D"/>
          <w:spacing w:val="-1"/>
          <w:sz w:val="19"/>
        </w:rPr>
      </w:pPr>
      <w:r>
        <w:rPr>
          <w:rFonts w:ascii="Arial" w:hAnsi="Arial"/>
          <w:b/>
          <w:color w:val="0B080D"/>
          <w:spacing w:val="-1"/>
          <w:sz w:val="19"/>
        </w:rPr>
        <w:t xml:space="preserve">Skin Protection: </w:t>
      </w:r>
      <w:r>
        <w:rPr>
          <w:rFonts w:ascii="Verdana" w:hAnsi="Verdana"/>
          <w:color w:val="0B080D"/>
          <w:spacing w:val="-1"/>
          <w:sz w:val="15"/>
        </w:rPr>
        <w:t>Halloysite powder may have a drying effect on the skin. Use good hygiene practices.</w:t>
      </w:r>
    </w:p>
    <w:p w:rsidR="00890D37" w:rsidRDefault="00890D37" w:rsidP="00890D37">
      <w:pPr>
        <w:spacing w:before="144" w:line="231" w:lineRule="exact"/>
        <w:rPr>
          <w:rFonts w:ascii="Arial" w:hAnsi="Arial"/>
          <w:b/>
          <w:color w:val="0B080D"/>
          <w:spacing w:val="-3"/>
          <w:sz w:val="19"/>
        </w:rPr>
      </w:pPr>
      <w:r>
        <w:rPr>
          <w:rFonts w:ascii="Arial" w:hAnsi="Arial"/>
          <w:b/>
          <w:color w:val="0B080D"/>
          <w:spacing w:val="-3"/>
          <w:sz w:val="19"/>
        </w:rPr>
        <w:t xml:space="preserve">Eye Protection: </w:t>
      </w:r>
      <w:r>
        <w:rPr>
          <w:rFonts w:ascii="Verdana" w:hAnsi="Verdana"/>
          <w:color w:val="0B080D"/>
          <w:spacing w:val="-3"/>
          <w:sz w:val="15"/>
        </w:rPr>
        <w:t>Wear safety glasses or chemical goggles to prevent eye contact. Do not wear contact lenses when working with halloysite.</w:t>
      </w:r>
    </w:p>
    <w:p w:rsidR="00890D37" w:rsidRDefault="00890D37" w:rsidP="00890D37">
      <w:pPr>
        <w:spacing w:before="144" w:line="234" w:lineRule="exact"/>
        <w:rPr>
          <w:rFonts w:ascii="Arial" w:hAnsi="Arial"/>
          <w:b/>
          <w:color w:val="0B080D"/>
          <w:spacing w:val="4"/>
          <w:sz w:val="19"/>
        </w:rPr>
      </w:pPr>
      <w:r>
        <w:rPr>
          <w:rFonts w:ascii="Arial" w:hAnsi="Arial"/>
          <w:b/>
          <w:color w:val="0B080D"/>
          <w:spacing w:val="4"/>
          <w:sz w:val="19"/>
        </w:rPr>
        <w:t>Section 9: Physical and Chemical Properties</w:t>
      </w:r>
    </w:p>
    <w:p w:rsidR="00890D37" w:rsidRDefault="00890D37" w:rsidP="00890D37">
      <w:pPr>
        <w:tabs>
          <w:tab w:val="right" w:pos="3917"/>
        </w:tabs>
        <w:spacing w:line="174" w:lineRule="exact"/>
        <w:rPr>
          <w:rFonts w:ascii="Verdana" w:hAnsi="Verdana"/>
          <w:color w:val="0B080D"/>
          <w:spacing w:val="-10"/>
          <w:sz w:val="15"/>
        </w:rPr>
      </w:pPr>
      <w:r>
        <w:rPr>
          <w:rFonts w:ascii="Verdana" w:hAnsi="Verdana"/>
          <w:color w:val="0B080D"/>
          <w:spacing w:val="-10"/>
          <w:sz w:val="15"/>
        </w:rPr>
        <w:t>Appearance:</w:t>
      </w:r>
      <w:r>
        <w:rPr>
          <w:rFonts w:ascii="Verdana" w:hAnsi="Verdana"/>
          <w:color w:val="0B080D"/>
          <w:spacing w:val="-10"/>
          <w:sz w:val="15"/>
        </w:rPr>
        <w:tab/>
      </w:r>
      <w:r>
        <w:rPr>
          <w:rFonts w:ascii="Verdana" w:hAnsi="Verdana"/>
          <w:color w:val="0B080D"/>
          <w:spacing w:val="-2"/>
          <w:sz w:val="15"/>
        </w:rPr>
        <w:t>White Powder</w:t>
      </w:r>
    </w:p>
    <w:p w:rsidR="00890D37" w:rsidRDefault="00890D37" w:rsidP="00890D37">
      <w:pPr>
        <w:tabs>
          <w:tab w:val="left" w:pos="2941"/>
        </w:tabs>
        <w:spacing w:line="154" w:lineRule="exact"/>
        <w:rPr>
          <w:rFonts w:ascii="Verdana" w:hAnsi="Verdana"/>
          <w:color w:val="0B080D"/>
          <w:spacing w:val="-16"/>
          <w:sz w:val="15"/>
        </w:rPr>
      </w:pPr>
      <w:r>
        <w:rPr>
          <w:rFonts w:ascii="Verdana" w:hAnsi="Verdana"/>
          <w:color w:val="0B080D"/>
          <w:spacing w:val="-16"/>
          <w:sz w:val="15"/>
        </w:rPr>
        <w:t>Odor:</w:t>
      </w:r>
      <w:r>
        <w:rPr>
          <w:rFonts w:ascii="Verdana" w:hAnsi="Verdana"/>
          <w:color w:val="0B080D"/>
          <w:spacing w:val="-16"/>
          <w:sz w:val="15"/>
        </w:rPr>
        <w:tab/>
      </w:r>
      <w:r>
        <w:rPr>
          <w:rFonts w:ascii="Verdana" w:hAnsi="Verdana"/>
          <w:color w:val="0B080D"/>
          <w:sz w:val="15"/>
        </w:rPr>
        <w:t>None</w:t>
      </w:r>
    </w:p>
    <w:p w:rsidR="00890D37" w:rsidRDefault="00890D37" w:rsidP="00890D37">
      <w:pPr>
        <w:tabs>
          <w:tab w:val="right" w:pos="3877"/>
        </w:tabs>
        <w:spacing w:line="173" w:lineRule="exact"/>
        <w:rPr>
          <w:rFonts w:ascii="Verdana" w:hAnsi="Verdana"/>
          <w:color w:val="0B080D"/>
          <w:sz w:val="15"/>
        </w:rPr>
      </w:pPr>
      <w:r>
        <w:rPr>
          <w:rFonts w:ascii="Verdana" w:hAnsi="Verdana"/>
          <w:color w:val="0B080D"/>
          <w:sz w:val="15"/>
        </w:rPr>
        <w:t>pH</w:t>
      </w:r>
      <w:r>
        <w:rPr>
          <w:rFonts w:ascii="Verdana" w:hAnsi="Verdana"/>
          <w:color w:val="0B080D"/>
          <w:sz w:val="15"/>
        </w:rPr>
        <w:tab/>
      </w:r>
      <w:r>
        <w:rPr>
          <w:rFonts w:ascii="Verdana" w:hAnsi="Verdana"/>
          <w:color w:val="0B080D"/>
          <w:spacing w:val="-8"/>
          <w:sz w:val="15"/>
        </w:rPr>
        <w:t>Slurry 6.0-6.5</w:t>
      </w:r>
    </w:p>
    <w:p w:rsidR="00890D37" w:rsidRDefault="00890D37" w:rsidP="00890D37">
      <w:pPr>
        <w:tabs>
          <w:tab w:val="right" w:pos="5152"/>
        </w:tabs>
        <w:spacing w:line="208" w:lineRule="exact"/>
        <w:rPr>
          <w:rFonts w:ascii="Verdana" w:hAnsi="Verdana"/>
          <w:color w:val="0B080D"/>
          <w:spacing w:val="-12"/>
          <w:sz w:val="15"/>
        </w:rPr>
      </w:pPr>
      <w:r>
        <w:rPr>
          <w:rFonts w:ascii="Verdana" w:hAnsi="Verdana"/>
          <w:color w:val="0B080D"/>
          <w:spacing w:val="-12"/>
          <w:sz w:val="15"/>
        </w:rPr>
        <w:t>Boiling Point:</w:t>
      </w:r>
      <w:r>
        <w:rPr>
          <w:rFonts w:ascii="Verdana" w:hAnsi="Verdana"/>
          <w:color w:val="0B080D"/>
          <w:spacing w:val="-12"/>
          <w:sz w:val="15"/>
        </w:rPr>
        <w:tab/>
      </w:r>
      <w:r>
        <w:rPr>
          <w:rFonts w:ascii="Verdana" w:hAnsi="Verdana"/>
          <w:color w:val="0B080D"/>
          <w:spacing w:val="-4"/>
          <w:sz w:val="15"/>
        </w:rPr>
        <w:t xml:space="preserve">Slurry in Water 100 </w:t>
      </w:r>
      <w:r>
        <w:rPr>
          <w:rFonts w:ascii="Arial" w:hAnsi="Arial"/>
          <w:color w:val="0B080D"/>
          <w:spacing w:val="-4"/>
          <w:w w:val="90"/>
          <w:sz w:val="15"/>
          <w:vertAlign w:val="superscript"/>
        </w:rPr>
        <w:t>°</w:t>
      </w:r>
      <w:r>
        <w:rPr>
          <w:rFonts w:ascii="Verdana" w:hAnsi="Verdana"/>
          <w:color w:val="0B080D"/>
          <w:spacing w:val="-4"/>
          <w:sz w:val="15"/>
        </w:rPr>
        <w:t>C or 212</w:t>
      </w:r>
      <w:r>
        <w:rPr>
          <w:rFonts w:ascii="Arial" w:hAnsi="Arial"/>
          <w:color w:val="0B080D"/>
          <w:spacing w:val="-4"/>
          <w:w w:val="90"/>
          <w:sz w:val="15"/>
          <w:vertAlign w:val="superscript"/>
        </w:rPr>
        <w:t>°</w:t>
      </w:r>
      <w:r>
        <w:rPr>
          <w:rFonts w:ascii="Verdana" w:hAnsi="Verdana"/>
          <w:color w:val="0B080D"/>
          <w:spacing w:val="-4"/>
          <w:sz w:val="15"/>
        </w:rPr>
        <w:t>F</w:t>
      </w:r>
    </w:p>
    <w:p w:rsidR="00890D37" w:rsidRDefault="00890D37" w:rsidP="00890D37">
      <w:pPr>
        <w:tabs>
          <w:tab w:val="right" w:pos="3287"/>
        </w:tabs>
        <w:spacing w:line="177" w:lineRule="exact"/>
        <w:rPr>
          <w:rFonts w:ascii="Verdana" w:hAnsi="Verdana"/>
          <w:color w:val="0B080D"/>
          <w:spacing w:val="-8"/>
          <w:sz w:val="15"/>
        </w:rPr>
      </w:pPr>
      <w:r>
        <w:rPr>
          <w:rFonts w:ascii="Verdana" w:hAnsi="Verdana"/>
          <w:color w:val="0B080D"/>
          <w:spacing w:val="-8"/>
          <w:sz w:val="15"/>
        </w:rPr>
        <w:t>Explosive Properties:</w:t>
      </w:r>
      <w:r>
        <w:rPr>
          <w:rFonts w:ascii="Verdana" w:hAnsi="Verdana"/>
          <w:color w:val="0B080D"/>
          <w:spacing w:val="-8"/>
          <w:sz w:val="15"/>
        </w:rPr>
        <w:tab/>
      </w:r>
      <w:r>
        <w:rPr>
          <w:rFonts w:ascii="Verdana" w:hAnsi="Verdana"/>
          <w:color w:val="0B080D"/>
          <w:sz w:val="15"/>
        </w:rPr>
        <w:t>None</w:t>
      </w:r>
    </w:p>
    <w:p w:rsidR="00890D37" w:rsidRDefault="00890D37" w:rsidP="00890D37">
      <w:pPr>
        <w:tabs>
          <w:tab w:val="right" w:pos="3287"/>
        </w:tabs>
        <w:spacing w:line="185" w:lineRule="exact"/>
        <w:rPr>
          <w:rFonts w:ascii="Verdana" w:hAnsi="Verdana"/>
          <w:color w:val="0B080D"/>
          <w:spacing w:val="-10"/>
          <w:sz w:val="15"/>
        </w:rPr>
      </w:pPr>
      <w:r>
        <w:rPr>
          <w:rFonts w:ascii="Verdana" w:hAnsi="Verdana"/>
          <w:color w:val="0B080D"/>
          <w:spacing w:val="-10"/>
          <w:sz w:val="15"/>
        </w:rPr>
        <w:t>Oxidizing Properties:</w:t>
      </w:r>
      <w:r>
        <w:rPr>
          <w:rFonts w:ascii="Verdana" w:hAnsi="Verdana"/>
          <w:color w:val="0B080D"/>
          <w:spacing w:val="-10"/>
          <w:sz w:val="15"/>
        </w:rPr>
        <w:tab/>
      </w:r>
      <w:r>
        <w:rPr>
          <w:rFonts w:ascii="Verdana" w:hAnsi="Verdana"/>
          <w:color w:val="0B080D"/>
          <w:sz w:val="15"/>
        </w:rPr>
        <w:t>None</w:t>
      </w:r>
    </w:p>
    <w:p w:rsidR="00890D37" w:rsidRDefault="00890D37" w:rsidP="00890D37">
      <w:pPr>
        <w:tabs>
          <w:tab w:val="right" w:pos="3218"/>
        </w:tabs>
        <w:spacing w:line="181" w:lineRule="exact"/>
        <w:rPr>
          <w:rFonts w:ascii="Verdana" w:hAnsi="Verdana"/>
          <w:color w:val="0B080D"/>
          <w:spacing w:val="-12"/>
          <w:sz w:val="15"/>
        </w:rPr>
      </w:pPr>
      <w:r>
        <w:rPr>
          <w:rFonts w:ascii="Verdana" w:hAnsi="Verdana"/>
          <w:color w:val="0B080D"/>
          <w:spacing w:val="-12"/>
          <w:sz w:val="15"/>
        </w:rPr>
        <w:t>Relative Density:</w:t>
      </w:r>
      <w:r>
        <w:rPr>
          <w:rFonts w:ascii="Verdana" w:hAnsi="Verdana"/>
          <w:color w:val="0B080D"/>
          <w:spacing w:val="-12"/>
          <w:sz w:val="15"/>
        </w:rPr>
        <w:tab/>
      </w:r>
      <w:r>
        <w:rPr>
          <w:rFonts w:ascii="Verdana" w:hAnsi="Verdana"/>
          <w:color w:val="0B080D"/>
          <w:sz w:val="15"/>
        </w:rPr>
        <w:t>2.55</w:t>
      </w:r>
    </w:p>
    <w:p w:rsidR="00890D37" w:rsidRDefault="00890D37" w:rsidP="00890D37">
      <w:pPr>
        <w:spacing w:before="144" w:line="237" w:lineRule="exact"/>
        <w:rPr>
          <w:rFonts w:ascii="Arial" w:hAnsi="Arial"/>
          <w:b/>
          <w:color w:val="0B080D"/>
          <w:spacing w:val="4"/>
          <w:sz w:val="19"/>
        </w:rPr>
      </w:pPr>
      <w:r>
        <w:rPr>
          <w:rFonts w:ascii="Arial" w:hAnsi="Arial"/>
          <w:b/>
          <w:color w:val="0B080D"/>
          <w:spacing w:val="4"/>
          <w:sz w:val="19"/>
        </w:rPr>
        <w:t>Section 10: Stability and Reactivity</w:t>
      </w:r>
    </w:p>
    <w:p w:rsidR="00890D37" w:rsidRDefault="00890D37" w:rsidP="00890D37">
      <w:pPr>
        <w:spacing w:before="144" w:line="239" w:lineRule="exact"/>
        <w:rPr>
          <w:rFonts w:ascii="Arial" w:hAnsi="Arial"/>
          <w:b/>
          <w:color w:val="0B080D"/>
          <w:spacing w:val="4"/>
          <w:sz w:val="19"/>
        </w:rPr>
      </w:pPr>
      <w:r>
        <w:rPr>
          <w:rFonts w:ascii="Arial" w:hAnsi="Arial"/>
          <w:b/>
          <w:color w:val="0B080D"/>
          <w:spacing w:val="4"/>
          <w:sz w:val="19"/>
        </w:rPr>
        <w:t xml:space="preserve">Stability: </w:t>
      </w:r>
      <w:r>
        <w:rPr>
          <w:rFonts w:ascii="Arial" w:hAnsi="Arial"/>
          <w:color w:val="0B080D"/>
          <w:spacing w:val="4"/>
          <w:sz w:val="20"/>
        </w:rPr>
        <w:t>stable</w:t>
      </w:r>
    </w:p>
    <w:p w:rsidR="00890D37" w:rsidRDefault="00890D37" w:rsidP="00890D37">
      <w:pPr>
        <w:spacing w:before="180" w:line="239" w:lineRule="exact"/>
        <w:rPr>
          <w:rFonts w:ascii="Arial" w:hAnsi="Arial"/>
          <w:b/>
          <w:color w:val="0B080D"/>
          <w:spacing w:val="2"/>
          <w:sz w:val="19"/>
        </w:rPr>
      </w:pPr>
      <w:r>
        <w:rPr>
          <w:rFonts w:ascii="Arial" w:hAnsi="Arial"/>
          <w:b/>
          <w:color w:val="0B080D"/>
          <w:spacing w:val="2"/>
          <w:sz w:val="19"/>
        </w:rPr>
        <w:t xml:space="preserve">Incompatibility: </w:t>
      </w:r>
      <w:r>
        <w:rPr>
          <w:rFonts w:ascii="Arial" w:hAnsi="Arial"/>
          <w:color w:val="0B080D"/>
          <w:spacing w:val="2"/>
          <w:sz w:val="20"/>
        </w:rPr>
        <w:t>hydrofluoric acid, strong alkalis</w:t>
      </w:r>
    </w:p>
    <w:p w:rsidR="00890D37" w:rsidRDefault="00890D37" w:rsidP="00890D37">
      <w:pPr>
        <w:spacing w:before="144" w:line="351" w:lineRule="exact"/>
        <w:ind w:right="5544"/>
        <w:rPr>
          <w:rFonts w:ascii="Arial" w:hAnsi="Arial"/>
          <w:b/>
          <w:color w:val="0B080D"/>
          <w:sz w:val="19"/>
        </w:rPr>
      </w:pPr>
      <w:r>
        <w:rPr>
          <w:rFonts w:ascii="Arial" w:hAnsi="Arial"/>
          <w:b/>
          <w:color w:val="0B080D"/>
          <w:sz w:val="19"/>
        </w:rPr>
        <w:t xml:space="preserve">Hazardous Decomposition or By-Products: </w:t>
      </w:r>
      <w:r>
        <w:rPr>
          <w:rFonts w:ascii="Arial" w:hAnsi="Arial"/>
          <w:color w:val="0B080D"/>
          <w:sz w:val="20"/>
        </w:rPr>
        <w:t xml:space="preserve">None Known </w:t>
      </w:r>
      <w:r>
        <w:rPr>
          <w:rFonts w:ascii="Arial" w:hAnsi="Arial"/>
          <w:b/>
          <w:color w:val="0B080D"/>
          <w:spacing w:val="4"/>
          <w:sz w:val="19"/>
        </w:rPr>
        <w:t xml:space="preserve">Hazardous Polymerization </w:t>
      </w:r>
      <w:r>
        <w:rPr>
          <w:rFonts w:ascii="Arial" w:hAnsi="Arial"/>
          <w:color w:val="0B080D"/>
          <w:spacing w:val="4"/>
          <w:sz w:val="20"/>
        </w:rPr>
        <w:t>Will not occur</w:t>
      </w:r>
    </w:p>
    <w:p w:rsidR="00890D37" w:rsidRDefault="00890D37" w:rsidP="00890D37">
      <w:pPr>
        <w:spacing w:before="396" w:line="235" w:lineRule="exact"/>
        <w:rPr>
          <w:rFonts w:ascii="Arial" w:hAnsi="Arial"/>
          <w:b/>
          <w:color w:val="0B080D"/>
          <w:spacing w:val="4"/>
          <w:sz w:val="19"/>
        </w:rPr>
      </w:pPr>
      <w:r>
        <w:rPr>
          <w:rFonts w:ascii="Arial" w:hAnsi="Arial"/>
          <w:b/>
          <w:color w:val="0B080D"/>
          <w:spacing w:val="4"/>
          <w:sz w:val="19"/>
        </w:rPr>
        <w:t>Section: 11 Toxicological Information</w:t>
      </w:r>
    </w:p>
    <w:p w:rsidR="00890D37" w:rsidRDefault="00890D37" w:rsidP="00890D37">
      <w:pPr>
        <w:spacing w:before="144" w:line="198" w:lineRule="exact"/>
        <w:rPr>
          <w:rFonts w:ascii="Arial" w:hAnsi="Arial"/>
          <w:b/>
          <w:color w:val="0B080D"/>
          <w:spacing w:val="5"/>
          <w:sz w:val="19"/>
        </w:rPr>
      </w:pPr>
      <w:r>
        <w:rPr>
          <w:rFonts w:ascii="Arial" w:hAnsi="Arial"/>
          <w:b/>
          <w:color w:val="0B080D"/>
          <w:spacing w:val="5"/>
          <w:sz w:val="19"/>
        </w:rPr>
        <w:t>Skin Irritation: Not a chemical irritant to the skin.</w:t>
      </w:r>
    </w:p>
    <w:p w:rsidR="00890D37" w:rsidRDefault="00890D37" w:rsidP="00890D37">
      <w:pPr>
        <w:spacing w:before="180" w:line="238" w:lineRule="exact"/>
        <w:rPr>
          <w:rFonts w:ascii="Arial" w:hAnsi="Arial"/>
          <w:b/>
          <w:color w:val="0B080D"/>
          <w:spacing w:val="5"/>
          <w:sz w:val="19"/>
        </w:rPr>
      </w:pPr>
      <w:r>
        <w:rPr>
          <w:rFonts w:ascii="Arial" w:hAnsi="Arial"/>
          <w:b/>
          <w:color w:val="0B080D"/>
          <w:spacing w:val="5"/>
          <w:sz w:val="19"/>
        </w:rPr>
        <w:t>Eye Irritation: Mild irritant to the eyes</w:t>
      </w:r>
    </w:p>
    <w:p w:rsidR="00890D37" w:rsidRDefault="00890D37" w:rsidP="00890D37">
      <w:pPr>
        <w:spacing w:before="180" w:line="245" w:lineRule="exact"/>
        <w:rPr>
          <w:rFonts w:ascii="Arial" w:hAnsi="Arial"/>
          <w:b/>
          <w:color w:val="0B080D"/>
          <w:spacing w:val="6"/>
          <w:sz w:val="19"/>
        </w:rPr>
      </w:pPr>
      <w:r>
        <w:rPr>
          <w:rFonts w:ascii="Arial" w:hAnsi="Arial"/>
          <w:b/>
          <w:color w:val="0B080D"/>
          <w:spacing w:val="6"/>
          <w:sz w:val="19"/>
        </w:rPr>
        <w:t>Acute Oral Toxicity: By analogy acute LD50 (rat) &gt;5000 mg/kg</w:t>
      </w:r>
    </w:p>
    <w:p w:rsidR="00890D37" w:rsidRDefault="00890D37" w:rsidP="00890D37">
      <w:pPr>
        <w:spacing w:before="144" w:line="353" w:lineRule="exact"/>
        <w:ind w:right="1584"/>
        <w:rPr>
          <w:rFonts w:ascii="Arial" w:hAnsi="Arial"/>
          <w:b/>
          <w:color w:val="0B080D"/>
          <w:spacing w:val="1"/>
          <w:sz w:val="19"/>
        </w:rPr>
      </w:pPr>
      <w:r>
        <w:rPr>
          <w:rFonts w:ascii="Arial" w:hAnsi="Arial"/>
          <w:b/>
          <w:color w:val="0B080D"/>
          <w:spacing w:val="1"/>
          <w:sz w:val="19"/>
        </w:rPr>
        <w:t xml:space="preserve">Carcinogenicity: Kaolin and its' homomlogs are not listed as a carcinogen by OSHA, NTP, ACGIH </w:t>
      </w:r>
      <w:r>
        <w:rPr>
          <w:rFonts w:ascii="Arial" w:hAnsi="Arial"/>
          <w:b/>
          <w:color w:val="0B080D"/>
          <w:spacing w:val="5"/>
          <w:sz w:val="19"/>
        </w:rPr>
        <w:t>Reproductive Toxicity: No data is available; no reproductive toxicity expected.</w:t>
      </w:r>
    </w:p>
    <w:p w:rsidR="00890D37" w:rsidRDefault="00890D37" w:rsidP="00890D37">
      <w:pPr>
        <w:spacing w:before="144" w:line="241" w:lineRule="exact"/>
        <w:rPr>
          <w:rFonts w:ascii="Arial" w:hAnsi="Arial"/>
          <w:b/>
          <w:color w:val="0B080D"/>
          <w:spacing w:val="5"/>
          <w:sz w:val="19"/>
        </w:rPr>
      </w:pPr>
      <w:r>
        <w:rPr>
          <w:rFonts w:ascii="Arial" w:hAnsi="Arial"/>
          <w:b/>
          <w:color w:val="0B080D"/>
          <w:spacing w:val="5"/>
          <w:sz w:val="19"/>
        </w:rPr>
        <w:t>Teratogenicity: No data for product; no effects should be expected.</w:t>
      </w:r>
    </w:p>
    <w:p w:rsidR="00890D37" w:rsidRDefault="00890D37" w:rsidP="00890D37">
      <w:pPr>
        <w:spacing w:before="252" w:line="236" w:lineRule="exact"/>
        <w:rPr>
          <w:rFonts w:ascii="Arial" w:hAnsi="Arial"/>
          <w:b/>
          <w:color w:val="0B080D"/>
          <w:spacing w:val="6"/>
          <w:sz w:val="19"/>
        </w:rPr>
      </w:pPr>
      <w:r>
        <w:rPr>
          <w:rFonts w:ascii="Arial" w:hAnsi="Arial"/>
          <w:b/>
          <w:color w:val="0B080D"/>
          <w:spacing w:val="6"/>
          <w:sz w:val="19"/>
        </w:rPr>
        <w:t>Section 12: Ecological Information</w:t>
      </w:r>
    </w:p>
    <w:p w:rsidR="00890D37" w:rsidRDefault="00890D37" w:rsidP="00890D37">
      <w:pPr>
        <w:spacing w:line="195" w:lineRule="exact"/>
        <w:rPr>
          <w:rFonts w:ascii="Arial" w:hAnsi="Arial"/>
          <w:b/>
          <w:color w:val="0B080D"/>
          <w:spacing w:val="-3"/>
          <w:sz w:val="19"/>
        </w:rPr>
      </w:pPr>
      <w:r>
        <w:rPr>
          <w:rFonts w:ascii="Arial" w:hAnsi="Arial"/>
          <w:b/>
          <w:color w:val="0B080D"/>
          <w:spacing w:val="-3"/>
          <w:sz w:val="19"/>
        </w:rPr>
        <w:t xml:space="preserve">Environmental Statement: </w:t>
      </w:r>
      <w:r>
        <w:rPr>
          <w:rFonts w:ascii="Verdana" w:hAnsi="Verdana"/>
          <w:color w:val="0B080D"/>
          <w:spacing w:val="-3"/>
          <w:sz w:val="15"/>
        </w:rPr>
        <w:t>Halloysite is persistent and is non</w:t>
      </w:r>
      <w:r>
        <w:rPr>
          <w:rFonts w:ascii="Arial" w:hAnsi="Arial"/>
          <w:color w:val="0B080D"/>
          <w:spacing w:val="-3"/>
          <w:sz w:val="6"/>
        </w:rPr>
        <w:t>-</w:t>
      </w:r>
      <w:r>
        <w:rPr>
          <w:rFonts w:ascii="Verdana" w:hAnsi="Verdana"/>
          <w:color w:val="0B080D"/>
          <w:spacing w:val="-3"/>
          <w:sz w:val="15"/>
        </w:rPr>
        <w:t xml:space="preserve">biodegradable but as it is a natural mineral is unlikely to have any long term effect c </w:t>
      </w:r>
      <w:r>
        <w:rPr>
          <w:rFonts w:ascii="Verdana" w:hAnsi="Verdana"/>
          <w:color w:val="0B080D"/>
          <w:spacing w:val="-8"/>
          <w:sz w:val="15"/>
        </w:rPr>
        <w:t>the environment.</w:t>
      </w:r>
    </w:p>
    <w:p w:rsidR="00890D37" w:rsidRDefault="00890D37" w:rsidP="00890D37">
      <w:pPr>
        <w:spacing w:before="144" w:line="325" w:lineRule="exact"/>
        <w:ind w:right="7056"/>
        <w:rPr>
          <w:rFonts w:ascii="Arial" w:hAnsi="Arial"/>
          <w:b/>
          <w:color w:val="0B080D"/>
          <w:spacing w:val="-2"/>
          <w:sz w:val="19"/>
        </w:rPr>
      </w:pPr>
      <w:r>
        <w:rPr>
          <w:rFonts w:ascii="Arial" w:hAnsi="Arial"/>
          <w:b/>
          <w:color w:val="0B080D"/>
          <w:spacing w:val="-2"/>
          <w:sz w:val="19"/>
        </w:rPr>
        <w:t xml:space="preserve">Mobility: </w:t>
      </w:r>
      <w:r>
        <w:rPr>
          <w:rFonts w:ascii="Verdana" w:hAnsi="Verdana"/>
          <w:color w:val="0B080D"/>
          <w:spacing w:val="-2"/>
          <w:sz w:val="15"/>
        </w:rPr>
        <w:t xml:space="preserve">Solid, Non-volatile. Insoluble </w:t>
      </w:r>
      <w:r>
        <w:rPr>
          <w:rFonts w:ascii="Arial" w:hAnsi="Arial"/>
          <w:b/>
          <w:color w:val="0B080D"/>
          <w:spacing w:val="-2"/>
          <w:sz w:val="19"/>
        </w:rPr>
        <w:t xml:space="preserve">Degradability: </w:t>
      </w:r>
      <w:r>
        <w:rPr>
          <w:rFonts w:ascii="Verdana" w:hAnsi="Verdana"/>
          <w:color w:val="0B080D"/>
          <w:spacing w:val="-2"/>
          <w:sz w:val="15"/>
        </w:rPr>
        <w:t>Not biodegradable and persistent.</w:t>
      </w:r>
    </w:p>
    <w:p w:rsidR="00890D37" w:rsidRDefault="00890D37">
      <w:pPr>
        <w:ind w:right="144"/>
        <w:rPr>
          <w:rFonts w:ascii="Arial" w:hAnsi="Arial"/>
          <w:b/>
          <w:color w:val="000000"/>
          <w:spacing w:val="-4"/>
          <w:sz w:val="20"/>
        </w:rPr>
      </w:pPr>
    </w:p>
    <w:p w:rsidR="00890D37" w:rsidRDefault="00890D37" w:rsidP="00890D37">
      <w:pPr>
        <w:spacing w:line="480" w:lineRule="auto"/>
        <w:ind w:right="4680"/>
        <w:rPr>
          <w:rFonts w:ascii="Arial" w:hAnsi="Arial"/>
          <w:b/>
          <w:color w:val="0B080C"/>
          <w:spacing w:val="1"/>
          <w:sz w:val="19"/>
        </w:rPr>
      </w:pPr>
      <w:r>
        <w:rPr>
          <w:rFonts w:ascii="Arial" w:hAnsi="Arial"/>
          <w:b/>
          <w:color w:val="0B080C"/>
          <w:spacing w:val="1"/>
          <w:sz w:val="19"/>
        </w:rPr>
        <w:lastRenderedPageBreak/>
        <w:t xml:space="preserve">Accumulation: </w:t>
      </w:r>
      <w:r>
        <w:rPr>
          <w:rFonts w:ascii="Arial" w:hAnsi="Arial"/>
          <w:color w:val="0B080C"/>
          <w:spacing w:val="1"/>
          <w:sz w:val="15"/>
        </w:rPr>
        <w:t xml:space="preserve">Not subject to bio-accumulation no bio-magnification identified. </w:t>
      </w:r>
      <w:r>
        <w:rPr>
          <w:rFonts w:ascii="Tahoma" w:hAnsi="Tahoma"/>
          <w:color w:val="0B080C"/>
          <w:spacing w:val="4"/>
          <w:sz w:val="19"/>
        </w:rPr>
        <w:t>Ecotoxic</w:t>
      </w:r>
      <w:r>
        <w:rPr>
          <w:rFonts w:ascii="Arial" w:hAnsi="Arial"/>
          <w:b/>
          <w:color w:val="0B080C"/>
          <w:spacing w:val="4"/>
          <w:sz w:val="19"/>
        </w:rPr>
        <w:t xml:space="preserve">ity: </w:t>
      </w:r>
      <w:r>
        <w:rPr>
          <w:rFonts w:ascii="Arial" w:hAnsi="Arial"/>
          <w:color w:val="0B080C"/>
          <w:spacing w:val="4"/>
          <w:sz w:val="15"/>
        </w:rPr>
        <w:t>Halloysite is non toxic to fish, soil organisms, plants, or animals.</w:t>
      </w:r>
    </w:p>
    <w:p w:rsidR="00890D37" w:rsidRDefault="00890D37" w:rsidP="00890D37">
      <w:pPr>
        <w:spacing w:before="108"/>
        <w:rPr>
          <w:rFonts w:ascii="Arial" w:hAnsi="Arial"/>
          <w:b/>
          <w:color w:val="0B080C"/>
          <w:spacing w:val="6"/>
          <w:sz w:val="19"/>
        </w:rPr>
      </w:pPr>
      <w:r>
        <w:rPr>
          <w:rFonts w:ascii="Arial" w:hAnsi="Arial"/>
          <w:b/>
          <w:color w:val="0B080C"/>
          <w:spacing w:val="6"/>
          <w:sz w:val="19"/>
        </w:rPr>
        <w:t>Section 13: Disposal Considerations</w:t>
      </w:r>
    </w:p>
    <w:p w:rsidR="00890D37" w:rsidRDefault="00890D37" w:rsidP="00890D37">
      <w:pPr>
        <w:spacing w:line="290" w:lineRule="auto"/>
        <w:ind w:right="216"/>
        <w:rPr>
          <w:rFonts w:ascii="Arial" w:hAnsi="Arial"/>
          <w:color w:val="0B080C"/>
          <w:spacing w:val="2"/>
          <w:sz w:val="15"/>
        </w:rPr>
      </w:pPr>
      <w:r>
        <w:rPr>
          <w:rFonts w:ascii="Arial" w:hAnsi="Arial"/>
          <w:color w:val="0B080C"/>
          <w:spacing w:val="2"/>
          <w:sz w:val="15"/>
        </w:rPr>
        <w:t>Halloysite can be disposed of as a non toxic and non reactive material in approved landfill sites when disposed of in accordance with governmental regulations.</w:t>
      </w:r>
    </w:p>
    <w:p w:rsidR="00890D37" w:rsidRDefault="00890D37" w:rsidP="00890D37">
      <w:pPr>
        <w:spacing w:before="144"/>
        <w:rPr>
          <w:rFonts w:ascii="Arial" w:hAnsi="Arial"/>
          <w:b/>
          <w:color w:val="0B080C"/>
          <w:spacing w:val="4"/>
          <w:sz w:val="19"/>
        </w:rPr>
      </w:pPr>
      <w:r>
        <w:rPr>
          <w:rFonts w:ascii="Arial" w:hAnsi="Arial"/>
          <w:b/>
          <w:color w:val="0B080C"/>
          <w:spacing w:val="4"/>
          <w:sz w:val="19"/>
        </w:rPr>
        <w:t>Section 14: Transport Information</w:t>
      </w:r>
    </w:p>
    <w:p w:rsidR="00890D37" w:rsidRDefault="00890D37" w:rsidP="00890D37">
      <w:pPr>
        <w:spacing w:line="268" w:lineRule="auto"/>
        <w:rPr>
          <w:rFonts w:ascii="Arial" w:hAnsi="Arial"/>
          <w:b/>
          <w:color w:val="0B080C"/>
          <w:spacing w:val="4"/>
          <w:sz w:val="19"/>
        </w:rPr>
      </w:pPr>
      <w:r>
        <w:rPr>
          <w:rFonts w:ascii="Arial" w:hAnsi="Arial"/>
          <w:b/>
          <w:color w:val="0B080C"/>
          <w:spacing w:val="4"/>
          <w:sz w:val="19"/>
        </w:rPr>
        <w:t>Halloysite is not classified as dangerous for transportation , no special precautions are required.</w:t>
      </w:r>
    </w:p>
    <w:p w:rsidR="00890D37" w:rsidRDefault="00890D37" w:rsidP="00890D37">
      <w:pPr>
        <w:spacing w:before="144" w:line="480" w:lineRule="auto"/>
        <w:ind w:right="3024"/>
        <w:rPr>
          <w:rFonts w:ascii="Arial" w:hAnsi="Arial"/>
          <w:b/>
          <w:color w:val="0B080C"/>
          <w:spacing w:val="9"/>
          <w:sz w:val="19"/>
        </w:rPr>
      </w:pPr>
      <w:r>
        <w:rPr>
          <w:rFonts w:ascii="Arial" w:hAnsi="Arial"/>
          <w:b/>
          <w:color w:val="0B080C"/>
          <w:spacing w:val="9"/>
          <w:sz w:val="19"/>
        </w:rPr>
        <w:t xml:space="preserve">DOT- proper shipping name: Halloysite Not a DOT/IMO hazardous material </w:t>
      </w:r>
      <w:r>
        <w:rPr>
          <w:rFonts w:ascii="Arial" w:hAnsi="Arial"/>
          <w:b/>
          <w:color w:val="0B080C"/>
          <w:spacing w:val="4"/>
          <w:sz w:val="19"/>
        </w:rPr>
        <w:t>Road Transport ARD/RID: Not a dangerous substance as defined by regulation.</w:t>
      </w:r>
    </w:p>
    <w:p w:rsidR="00890D37" w:rsidRDefault="00890D37" w:rsidP="00890D37">
      <w:pPr>
        <w:spacing w:before="180" w:line="480" w:lineRule="auto"/>
        <w:ind w:right="2664"/>
        <w:rPr>
          <w:rFonts w:ascii="Arial" w:hAnsi="Arial"/>
          <w:b/>
          <w:color w:val="0B080C"/>
          <w:sz w:val="19"/>
        </w:rPr>
      </w:pPr>
      <w:r>
        <w:rPr>
          <w:rFonts w:ascii="Arial" w:hAnsi="Arial"/>
          <w:b/>
          <w:color w:val="0B080C"/>
          <w:sz w:val="19"/>
        </w:rPr>
        <w:t xml:space="preserve">Inland navigation AND/ADNR: Not a dangerous substance as defined by regulation. </w:t>
      </w:r>
      <w:r>
        <w:rPr>
          <w:rFonts w:ascii="Arial" w:hAnsi="Arial"/>
          <w:b/>
          <w:color w:val="0B080C"/>
          <w:spacing w:val="7"/>
          <w:sz w:val="19"/>
        </w:rPr>
        <w:t xml:space="preserve">Maritime Transport IMDG: Not a dangerous subsntance as defined by regulation. </w:t>
      </w:r>
      <w:r>
        <w:rPr>
          <w:rFonts w:ascii="Arial" w:hAnsi="Arial"/>
          <w:b/>
          <w:color w:val="0B080C"/>
          <w:spacing w:val="5"/>
          <w:sz w:val="19"/>
        </w:rPr>
        <w:t>Air Transport ICAO/IATA: Not a dangerous substance as defined by regulation.</w:t>
      </w:r>
    </w:p>
    <w:p w:rsidR="00890D37" w:rsidRDefault="00890D37" w:rsidP="00890D37">
      <w:pPr>
        <w:spacing w:before="288" w:line="264" w:lineRule="auto"/>
        <w:rPr>
          <w:rFonts w:ascii="Arial" w:hAnsi="Arial"/>
          <w:b/>
          <w:color w:val="0B080C"/>
          <w:spacing w:val="4"/>
          <w:sz w:val="19"/>
        </w:rPr>
      </w:pPr>
      <w:r>
        <w:rPr>
          <w:rFonts w:ascii="Arial" w:hAnsi="Arial"/>
          <w:b/>
          <w:color w:val="0B080C"/>
          <w:spacing w:val="4"/>
          <w:sz w:val="19"/>
        </w:rPr>
        <w:t>Section 15: Regulatory Information</w:t>
      </w:r>
    </w:p>
    <w:p w:rsidR="00890D37" w:rsidRDefault="00890D37" w:rsidP="00890D37">
      <w:pPr>
        <w:spacing w:before="144" w:line="266" w:lineRule="auto"/>
        <w:rPr>
          <w:rFonts w:ascii="Arial" w:hAnsi="Arial"/>
          <w:b/>
          <w:color w:val="0B080C"/>
          <w:spacing w:val="4"/>
          <w:sz w:val="19"/>
        </w:rPr>
      </w:pPr>
      <w:r>
        <w:rPr>
          <w:rFonts w:ascii="Arial" w:hAnsi="Arial"/>
          <w:b/>
          <w:color w:val="0B080C"/>
          <w:spacing w:val="4"/>
          <w:sz w:val="19"/>
        </w:rPr>
        <w:t>SARA 311/312: Hazard Category: chronic health</w:t>
      </w:r>
    </w:p>
    <w:p w:rsidR="00890D37" w:rsidRDefault="00890D37" w:rsidP="00890D37">
      <w:pPr>
        <w:spacing w:line="211" w:lineRule="auto"/>
        <w:rPr>
          <w:rFonts w:ascii="Arial" w:hAnsi="Arial"/>
          <w:b/>
          <w:color w:val="0B080C"/>
          <w:sz w:val="19"/>
        </w:rPr>
      </w:pPr>
      <w:r>
        <w:rPr>
          <w:rFonts w:ascii="Arial" w:hAnsi="Arial"/>
          <w:b/>
          <w:color w:val="0B080C"/>
          <w:sz w:val="19"/>
        </w:rPr>
        <w:t>SARA 313: None</w:t>
      </w:r>
    </w:p>
    <w:p w:rsidR="00890D37" w:rsidRDefault="00890D37" w:rsidP="00890D37">
      <w:pPr>
        <w:rPr>
          <w:rFonts w:ascii="Arial" w:hAnsi="Arial"/>
          <w:b/>
          <w:color w:val="0B080C"/>
          <w:spacing w:val="6"/>
          <w:sz w:val="19"/>
        </w:rPr>
      </w:pPr>
      <w:r>
        <w:rPr>
          <w:rFonts w:ascii="Arial" w:hAnsi="Arial"/>
          <w:b/>
          <w:color w:val="0B080C"/>
          <w:spacing w:val="6"/>
          <w:sz w:val="19"/>
        </w:rPr>
        <w:t>CERCLA Section 103 Reportable Quantity: None</w:t>
      </w:r>
    </w:p>
    <w:p w:rsidR="00890D37" w:rsidRDefault="00890D37" w:rsidP="00890D37">
      <w:pPr>
        <w:rPr>
          <w:rFonts w:ascii="Arial" w:hAnsi="Arial"/>
          <w:b/>
          <w:color w:val="0B080C"/>
          <w:spacing w:val="5"/>
          <w:sz w:val="19"/>
        </w:rPr>
      </w:pPr>
      <w:r>
        <w:rPr>
          <w:rFonts w:ascii="Arial" w:hAnsi="Arial"/>
          <w:b/>
          <w:color w:val="0B080C"/>
          <w:spacing w:val="5"/>
          <w:sz w:val="19"/>
        </w:rPr>
        <w:t>Toxic Substances Control Act: Listed on EPA TSCA or exempt.</w:t>
      </w:r>
    </w:p>
    <w:p w:rsidR="00890D37" w:rsidRDefault="00890D37" w:rsidP="00890D37">
      <w:pPr>
        <w:ind w:right="1152"/>
        <w:rPr>
          <w:rFonts w:ascii="Arial" w:hAnsi="Arial"/>
          <w:b/>
          <w:color w:val="0B080C"/>
          <w:spacing w:val="1"/>
          <w:sz w:val="19"/>
        </w:rPr>
      </w:pPr>
      <w:r>
        <w:rPr>
          <w:rFonts w:ascii="Arial" w:hAnsi="Arial"/>
          <w:b/>
          <w:color w:val="0B080C"/>
          <w:spacing w:val="1"/>
          <w:sz w:val="19"/>
        </w:rPr>
        <w:t xml:space="preserve">European Inventory of Commercial Chemical Substances: Listed on ENIECS inventory and exempt. </w:t>
      </w:r>
      <w:r>
        <w:rPr>
          <w:rFonts w:ascii="Arial" w:hAnsi="Arial"/>
          <w:b/>
          <w:color w:val="0B080C"/>
          <w:spacing w:val="6"/>
          <w:sz w:val="19"/>
        </w:rPr>
        <w:t xml:space="preserve">Canadian Environmental Protection Act: Listed Canadian Domestic Substances List or Exempt. </w:t>
      </w:r>
      <w:r>
        <w:rPr>
          <w:rFonts w:ascii="Arial" w:hAnsi="Arial"/>
          <w:b/>
          <w:color w:val="0B080C"/>
          <w:spacing w:val="4"/>
          <w:sz w:val="19"/>
        </w:rPr>
        <w:t>Japan MITI: Defined in Chemical substance control law.</w:t>
      </w:r>
    </w:p>
    <w:p w:rsidR="00890D37" w:rsidRDefault="00890D37" w:rsidP="00890D37">
      <w:pPr>
        <w:rPr>
          <w:rFonts w:ascii="Arial" w:hAnsi="Arial"/>
          <w:b/>
          <w:color w:val="0B080C"/>
          <w:spacing w:val="4"/>
          <w:sz w:val="19"/>
        </w:rPr>
      </w:pPr>
      <w:r>
        <w:rPr>
          <w:rFonts w:ascii="Arial" w:hAnsi="Arial"/>
          <w:b/>
          <w:color w:val="0B080C"/>
          <w:spacing w:val="4"/>
          <w:sz w:val="19"/>
        </w:rPr>
        <w:t>Australian Inventory of Chemical Substances: Listed AICS or exempt.</w:t>
      </w:r>
    </w:p>
    <w:p w:rsidR="00890D37" w:rsidRDefault="00890D37" w:rsidP="00890D37">
      <w:pPr>
        <w:spacing w:before="180" w:line="216" w:lineRule="auto"/>
        <w:rPr>
          <w:rFonts w:ascii="Arial" w:hAnsi="Arial"/>
          <w:b/>
          <w:color w:val="0B080C"/>
          <w:spacing w:val="4"/>
          <w:sz w:val="19"/>
        </w:rPr>
      </w:pPr>
      <w:r>
        <w:rPr>
          <w:rFonts w:ascii="Arial" w:hAnsi="Arial"/>
          <w:b/>
          <w:color w:val="0B080C"/>
          <w:spacing w:val="4"/>
          <w:sz w:val="19"/>
        </w:rPr>
        <w:t>Section 16: Misc. Information</w:t>
      </w:r>
    </w:p>
    <w:p w:rsidR="00890D37" w:rsidRDefault="00890D37" w:rsidP="00890D37">
      <w:pPr>
        <w:spacing w:before="36" w:line="273" w:lineRule="auto"/>
        <w:rPr>
          <w:rFonts w:ascii="Arial" w:hAnsi="Arial"/>
          <w:b/>
          <w:color w:val="0B080C"/>
          <w:spacing w:val="4"/>
          <w:sz w:val="19"/>
        </w:rPr>
      </w:pPr>
      <w:r>
        <w:rPr>
          <w:rFonts w:ascii="Arial" w:hAnsi="Arial"/>
          <w:b/>
          <w:color w:val="0B080C"/>
          <w:spacing w:val="4"/>
          <w:sz w:val="19"/>
        </w:rPr>
        <w:t>Workers should be trained to handle this product without generating dust of spillages of material.</w:t>
      </w:r>
    </w:p>
    <w:p w:rsidR="00890D37" w:rsidRDefault="00890D37" w:rsidP="00890D37">
      <w:pPr>
        <w:spacing w:before="216"/>
        <w:jc w:val="both"/>
        <w:rPr>
          <w:rFonts w:ascii="Verdana" w:hAnsi="Verdana"/>
          <w:color w:val="0B080C"/>
          <w:spacing w:val="4"/>
          <w:sz w:val="14"/>
        </w:rPr>
      </w:pPr>
      <w:r>
        <w:rPr>
          <w:rFonts w:ascii="Verdana" w:hAnsi="Verdana"/>
          <w:color w:val="0B080C"/>
          <w:spacing w:val="4"/>
          <w:sz w:val="14"/>
        </w:rPr>
        <w:t xml:space="preserve">Note: This Material Safety Data Sheet supersedes all previous materials and is based upon the company's current and best knowledge as c </w:t>
      </w:r>
      <w:r>
        <w:rPr>
          <w:rFonts w:ascii="Verdana" w:hAnsi="Verdana"/>
          <w:color w:val="0B080C"/>
          <w:spacing w:val="5"/>
          <w:sz w:val="14"/>
        </w:rPr>
        <w:t xml:space="preserve">date of preparation. Is it provided in good faith, but is without warranty either expressed or implied as regards the correctness or complete </w:t>
      </w:r>
      <w:r>
        <w:rPr>
          <w:rFonts w:ascii="Verdana" w:hAnsi="Verdana"/>
          <w:color w:val="0B080C"/>
          <w:spacing w:val="4"/>
          <w:sz w:val="14"/>
        </w:rPr>
        <w:t xml:space="preserve">of information contained herein. The conditions and methods of handling, storage and use and/or disposal of the product are beyond our </w:t>
      </w:r>
      <w:r>
        <w:rPr>
          <w:rFonts w:ascii="Verdana" w:hAnsi="Verdana"/>
          <w:color w:val="0B080C"/>
          <w:spacing w:val="5"/>
          <w:sz w:val="14"/>
        </w:rPr>
        <w:t>knowledge. Thus it is the sole responsibility of the user to take all precautions required for the safe handling of the product.</w:t>
      </w:r>
    </w:p>
    <w:p w:rsidR="00890D37" w:rsidRDefault="00890D37" w:rsidP="00890D37">
      <w:pPr>
        <w:rPr>
          <w:rFonts w:ascii="Verdana" w:hAnsi="Verdana"/>
          <w:color w:val="0B080C"/>
          <w:spacing w:val="2"/>
          <w:sz w:val="14"/>
        </w:rPr>
      </w:pPr>
      <w:r>
        <w:rPr>
          <w:rFonts w:ascii="Verdana" w:hAnsi="Verdana"/>
          <w:color w:val="0B080C"/>
          <w:spacing w:val="2"/>
          <w:sz w:val="14"/>
        </w:rPr>
        <w:t>Date Prepared: March 2007</w:t>
      </w:r>
    </w:p>
    <w:p w:rsidR="00890D37" w:rsidRDefault="00890D37">
      <w:pPr>
        <w:ind w:right="144"/>
        <w:rPr>
          <w:rFonts w:ascii="Arial" w:hAnsi="Arial"/>
          <w:b/>
          <w:color w:val="000000"/>
          <w:spacing w:val="-4"/>
          <w:sz w:val="20"/>
        </w:rPr>
      </w:pPr>
      <w:bookmarkStart w:id="0" w:name="_GoBack"/>
      <w:bookmarkEnd w:id="0"/>
    </w:p>
    <w:sectPr w:rsidR="00890D37">
      <w:type w:val="continuous"/>
      <w:pgSz w:w="12240" w:h="17280"/>
      <w:pgMar w:top="62" w:right="719" w:bottom="1848" w:left="7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C3"/>
    <w:rsid w:val="00395BC3"/>
    <w:rsid w:val="0089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1067</Words>
  <Characters>5763</Characters>
  <Application>Microsoft Office Word</Application>
  <DocSecurity>0</DocSecurity>
  <Lines>91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2015-04-24T19:08:00Z</dcterms:created>
  <dcterms:modified xsi:type="dcterms:W3CDTF">2015-04-24T19:08:00Z</dcterms:modified>
</cp:coreProperties>
</file>